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ind w:left="8496" w:firstLine="708"/>
      </w:pPr>
      <w:r>
        <w:t>Annopol, dnia</w:t>
      </w:r>
      <w:r>
        <w:rPr>
          <w:sz w:val="16"/>
          <w:szCs w:val="16"/>
        </w:rPr>
        <w:t xml:space="preserve">  </w:t>
      </w:r>
      <w:r>
        <w:t xml:space="preserve"> </w:t>
      </w:r>
      <w:r>
        <w:rPr>
          <w:rFonts w:hint="default"/>
          <w:lang w:val="pl-PL"/>
        </w:rPr>
        <w:t>22</w:t>
      </w:r>
      <w:bookmarkStart w:id="0" w:name="_GoBack"/>
      <w:bookmarkEnd w:id="0"/>
      <w:r>
        <w:t>.</w:t>
      </w:r>
      <w:r>
        <w:rPr>
          <w:rFonts w:hint="default"/>
          <w:lang w:val="pl-PL"/>
        </w:rPr>
        <w:t>02</w:t>
      </w:r>
      <w:r>
        <w:t>.202</w:t>
      </w:r>
      <w:r>
        <w:rPr>
          <w:rFonts w:hint="default"/>
          <w:lang w:val="pl-PL"/>
        </w:rPr>
        <w:t xml:space="preserve">3 </w:t>
      </w:r>
      <w:r>
        <w:t>r.</w:t>
      </w:r>
    </w:p>
    <w:p>
      <w:pPr>
        <w:tabs>
          <w:tab w:val="left" w:pos="3960"/>
        </w:tabs>
        <w:ind w:left="8496" w:firstLine="708"/>
      </w:pPr>
    </w:p>
    <w:p>
      <w:pPr>
        <w:tabs>
          <w:tab w:val="left" w:pos="3960"/>
        </w:tabs>
        <w:jc w:val="both"/>
      </w:pPr>
      <w:r>
        <w:rPr>
          <w:sz w:val="22"/>
          <w:szCs w:val="22"/>
        </w:rPr>
        <w:t>Burmistrz Annopola na podstawie art. 35 ust.1 i 2 ustawy z dnia 21 sierpnia 1997r. o gospodarce nieruchomościami (Dz. U. z 2021r., poz. 1899 z późn. zm.) podaje do publicznej wiadomości:</w:t>
      </w:r>
    </w:p>
    <w:p>
      <w:pPr>
        <w:tabs>
          <w:tab w:val="left" w:pos="3960"/>
        </w:tabs>
      </w:pPr>
    </w:p>
    <w:p>
      <w:pPr>
        <w:jc w:val="center"/>
        <w:rPr>
          <w:b/>
          <w:bCs/>
        </w:rPr>
      </w:pPr>
      <w:r>
        <w:rPr>
          <w:b/>
          <w:bCs/>
        </w:rPr>
        <w:t>WYKAZ</w:t>
      </w:r>
    </w:p>
    <w:p>
      <w:pPr>
        <w:jc w:val="center"/>
        <w:rPr>
          <w:b/>
          <w:bCs/>
        </w:rPr>
      </w:pPr>
      <w:r>
        <w:rPr>
          <w:b/>
          <w:bCs/>
        </w:rPr>
        <w:t>nieruchomości gruntowej położonej w Annopolu przeznaczonej do oddania w dzierżawę w trybie bezprzetargowym</w:t>
      </w:r>
    </w:p>
    <w:p>
      <w:pPr>
        <w:jc w:val="center"/>
      </w:pPr>
    </w:p>
    <w:tbl>
      <w:tblPr>
        <w:tblStyle w:val="3"/>
        <w:tblW w:w="14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053"/>
        <w:gridCol w:w="2336"/>
        <w:gridCol w:w="1739"/>
        <w:gridCol w:w="1542"/>
        <w:gridCol w:w="2875"/>
        <w:gridCol w:w="1316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Lp.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Nr działki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vertAlign w:val="superscript"/>
              </w:rPr>
            </w:pPr>
            <w:r>
              <w:t>Pow. działki w ha / Pow. dzierżawy w m</w:t>
            </w:r>
            <w:r>
              <w:rPr>
                <w:vertAlign w:val="superscript"/>
              </w:rPr>
              <w:t>2</w:t>
            </w:r>
          </w:p>
          <w:p>
            <w:pPr>
              <w:jc w:val="center"/>
            </w:pPr>
          </w:p>
        </w:tc>
        <w:tc>
          <w:tcPr>
            <w:tcW w:w="173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 xml:space="preserve">Nr księgi wieczystej 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Położenie</w:t>
            </w:r>
          </w:p>
          <w:p>
            <w:pPr>
              <w:jc w:val="center"/>
            </w:pPr>
          </w:p>
        </w:tc>
        <w:tc>
          <w:tcPr>
            <w:tcW w:w="287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Opis nieruchomości</w:t>
            </w:r>
          </w:p>
          <w:p>
            <w:pPr>
              <w:jc w:val="center"/>
            </w:pPr>
            <w:r>
              <w:t xml:space="preserve"> i cel umowy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Okres</w:t>
            </w:r>
          </w:p>
          <w:p>
            <w:pPr>
              <w:jc w:val="center"/>
            </w:pPr>
            <w:r>
              <w:t xml:space="preserve"> umowy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Wysokość czynszu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atLeast"/>
          <w:jc w:val="center"/>
        </w:trPr>
        <w:tc>
          <w:tcPr>
            <w:tcW w:w="543" w:type="dxa"/>
          </w:tcPr>
          <w:p>
            <w:pPr>
              <w:jc w:val="center"/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053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działki nr 1026/15   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/>
          <w:p>
            <w:pPr>
              <w:rPr>
                <w:rFonts w:hint="default"/>
                <w:sz w:val="20"/>
                <w:szCs w:val="20"/>
                <w:vertAlign w:val="superscript"/>
                <w:lang w:val="pl-PL"/>
              </w:rPr>
            </w:pPr>
            <w:r>
              <w:rPr>
                <w:sz w:val="20"/>
                <w:szCs w:val="20"/>
              </w:rPr>
              <w:t xml:space="preserve">    0,1829 ha / </w:t>
            </w:r>
            <w:r>
              <w:rPr>
                <w:rFonts w:hint="default"/>
                <w:sz w:val="20"/>
                <w:szCs w:val="20"/>
                <w:lang w:val="pl-PL"/>
              </w:rPr>
              <w:t xml:space="preserve">15 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39" w:type="dxa"/>
          </w:tcPr>
          <w:p>
            <w:pPr>
              <w:jc w:val="center"/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LU1K/00066676/9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542" w:type="dxa"/>
          </w:tcPr>
          <w:p>
            <w:pPr>
              <w:jc w:val="center"/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położona                w Annopolu przy ul. Leśnej.</w:t>
            </w: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gruntowa położona w Annopolu przy ul. Leśnej.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miejscowym planem zagospodarowania są to tereny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 xml:space="preserve">w części oznaczone symbolem B 42 MW o przeznaczeniu podstawowym: tereny zabudowy wielorodzinnej oraz w części oznaczone symbolem B 40 MN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o przeznaczeniu podstawowym: tereny zabudowy mieszkaniowej jednorodzinnej oraz przeznaczeniu dopuszczalnym: tereny zabudowy usługowej.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Dzierżawa gruntu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 xml:space="preserve">z przeznaczeniem pod garaż.                </w:t>
            </w:r>
          </w:p>
          <w:p>
            <w:pPr>
              <w:jc w:val="center"/>
            </w:pPr>
          </w:p>
        </w:tc>
        <w:tc>
          <w:tcPr>
            <w:tcW w:w="1316" w:type="dxa"/>
          </w:tcPr>
          <w:p>
            <w:pPr>
              <w:jc w:val="center"/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nieoznaczony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>
            <w:pPr>
              <w:jc w:val="center"/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rFonts w:hint="default"/>
                <w:sz w:val="20"/>
                <w:szCs w:val="20"/>
                <w:lang w:val="pl-PL"/>
              </w:rPr>
              <w:t>24</w:t>
            </w:r>
            <w:r>
              <w:rPr>
                <w:sz w:val="20"/>
                <w:szCs w:val="20"/>
              </w:rPr>
              <w:t xml:space="preserve"> zł/m2 powierzchni netto </w:t>
            </w:r>
            <w:r>
              <w:rPr>
                <w:rFonts w:hint="default"/>
                <w:sz w:val="20"/>
                <w:szCs w:val="20"/>
                <w:lang w:val="pl-PL"/>
              </w:rPr>
              <w:t xml:space="preserve">  </w:t>
            </w:r>
            <w:r>
              <w:rPr>
                <w:sz w:val="20"/>
                <w:szCs w:val="20"/>
              </w:rPr>
              <w:t xml:space="preserve">w stosunku rocznym.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Co roku czynsz będzie waloryzowany o średnioroczny wskaźnik cen towarów i usług konsumpcyjnych za rok poprzedni ogłoszony przez Prezesa GUS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Czynsz płatny do 30 kwietnia każdego roku.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Wywieszono na tablicy ogłoszeń w dniach: ……………………………………….</w:t>
      </w:r>
    </w:p>
    <w:p/>
    <w:p/>
    <w:sectPr>
      <w:pgSz w:w="16838" w:h="11906" w:orient="landscape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B042D"/>
    <w:rsid w:val="536B042D"/>
    <w:rsid w:val="7963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2023-02-15T10:04:00Z</dcterms:created>
  <dc:creator>Monika</dc:creator>
  <cp:lastModifiedBy>Monika</cp:lastModifiedBy>
  <cp:lastPrinted>2023-02-21T12:32:15Z</cp:lastPrinted>
  <dcterms:modified xsi:type="dcterms:W3CDTF">2023-02-21T12:32:50Z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77CDD72837844C268F08DB320C372C44</vt:lpwstr>
  </property>
</Properties>
</file>