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27" w:rsidRPr="00000693" w:rsidRDefault="008D3F27" w:rsidP="008E3F03">
      <w:pPr>
        <w:jc w:val="both"/>
      </w:pPr>
      <w:r w:rsidRPr="00000693">
        <w:t>Szanowny Panie Wójcie</w:t>
      </w:r>
      <w:r w:rsidR="00643106">
        <w:t>,</w:t>
      </w:r>
    </w:p>
    <w:p w:rsidR="002A52FE" w:rsidRPr="00000693" w:rsidRDefault="008D3F27" w:rsidP="008E3F03">
      <w:pPr>
        <w:ind w:firstLine="360"/>
        <w:jc w:val="both"/>
      </w:pPr>
      <w:r w:rsidRPr="00000693">
        <w:t>Dziękujemy za przekazanie pisma mieszkańców z dnia 26.08.2020</w:t>
      </w:r>
      <w:r w:rsidR="004D050A">
        <w:t xml:space="preserve"> </w:t>
      </w:r>
      <w:r w:rsidRPr="00000693">
        <w:t xml:space="preserve">z uwagami i pytaniami dotyczącymi planowanej inwestycji na terenie </w:t>
      </w:r>
      <w:r w:rsidR="00F94ACA" w:rsidRPr="00000693">
        <w:t>Gmin</w:t>
      </w:r>
      <w:r w:rsidRPr="00000693">
        <w:t>y Niemce. W odpowiedzi p</w:t>
      </w:r>
      <w:r w:rsidR="002A52FE" w:rsidRPr="00000693">
        <w:t>ragniemy wyjaśnić i odnieść się do</w:t>
      </w:r>
      <w:r w:rsidR="004D050A">
        <w:t xml:space="preserve"> </w:t>
      </w:r>
      <w:r w:rsidR="002A52FE" w:rsidRPr="00000693">
        <w:t>kwestii poruszonych przez mieszkańców w powyższym piśmie</w:t>
      </w:r>
      <w:r w:rsidRPr="00000693">
        <w:t>.</w:t>
      </w:r>
      <w:r w:rsidR="00F94ACA" w:rsidRPr="00000693">
        <w:t xml:space="preserve"> Prosimy o przekazanie poniższego pisma </w:t>
      </w:r>
      <w:r w:rsidR="00F94ACA" w:rsidRPr="00EF3E4B">
        <w:rPr>
          <w:color w:val="000000" w:themeColor="text1"/>
        </w:rPr>
        <w:t xml:space="preserve">zainteresowanym </w:t>
      </w:r>
      <w:r w:rsidR="005F6C15" w:rsidRPr="00EF3E4B">
        <w:rPr>
          <w:color w:val="000000" w:themeColor="text1"/>
        </w:rPr>
        <w:t>M</w:t>
      </w:r>
      <w:r w:rsidR="00F94ACA" w:rsidRPr="00EF3E4B">
        <w:rPr>
          <w:color w:val="000000" w:themeColor="text1"/>
        </w:rPr>
        <w:t xml:space="preserve">ieszkańcom </w:t>
      </w:r>
      <w:r w:rsidR="00F94ACA" w:rsidRPr="00000693">
        <w:t>i Radnym Gminy, liczymy</w:t>
      </w:r>
      <w:r w:rsidR="008E3F03">
        <w:t>,</w:t>
      </w:r>
      <w:r w:rsidR="00F94ACA" w:rsidRPr="00000693">
        <w:t xml:space="preserve"> że poniższe wyjaśnienia w pełni rozwieją jakiekolwiek wątpliwości</w:t>
      </w:r>
      <w:r w:rsidR="008E3F03">
        <w:t>,</w:t>
      </w:r>
      <w:r w:rsidR="00F94ACA" w:rsidRPr="00000693">
        <w:t xml:space="preserve"> co do zasadności budowy zakładu na terenie parku przemysłowego oraz pozwolą wszystkim zainteresowanym stronom na współpracę przy wyjaśn</w:t>
      </w:r>
      <w:r w:rsidR="00FC7168" w:rsidRPr="00000693">
        <w:t>i</w:t>
      </w:r>
      <w:r w:rsidR="00F94ACA" w:rsidRPr="00000693">
        <w:t>aniu wszelkich wątpliwości związanych z inwestycją.</w:t>
      </w:r>
    </w:p>
    <w:p w:rsidR="008D3F27" w:rsidRDefault="008D3F27" w:rsidP="008E3F03">
      <w:pPr>
        <w:ind w:firstLine="360"/>
        <w:jc w:val="both"/>
      </w:pPr>
      <w:r w:rsidRPr="00000693">
        <w:t xml:space="preserve">Pragniemy podkreślić, iż planowana inwestycja nie przyniesie żadnych negatywnych efektów dla </w:t>
      </w:r>
      <w:r w:rsidR="00F94ACA" w:rsidRPr="00132B1B">
        <w:rPr>
          <w:color w:val="000000" w:themeColor="text1"/>
        </w:rPr>
        <w:t>Gmin</w:t>
      </w:r>
      <w:r w:rsidRPr="00132B1B">
        <w:rPr>
          <w:color w:val="000000" w:themeColor="text1"/>
        </w:rPr>
        <w:t xml:space="preserve">y czy jej </w:t>
      </w:r>
      <w:r w:rsidR="005F6C15" w:rsidRPr="00132B1B">
        <w:rPr>
          <w:color w:val="000000" w:themeColor="text1"/>
        </w:rPr>
        <w:t>M</w:t>
      </w:r>
      <w:r w:rsidRPr="00132B1B">
        <w:rPr>
          <w:color w:val="000000" w:themeColor="text1"/>
        </w:rPr>
        <w:t>ieszkańców</w:t>
      </w:r>
      <w:r w:rsidRPr="00000693">
        <w:t xml:space="preserve">. Planowany zakład wykorzystywał będzie najnowsze technologie przemysłu spożywczego oraz wyposażony będzie w najnowsze rozwiązania technologiczne w dziedzinie wykorzystania i odzysku energii, wody czy surowców. </w:t>
      </w:r>
    </w:p>
    <w:p w:rsidR="008D3F27" w:rsidRDefault="008D3F27" w:rsidP="008E3F03">
      <w:pPr>
        <w:ind w:firstLine="360"/>
        <w:jc w:val="both"/>
      </w:pPr>
      <w:r w:rsidRPr="00000693">
        <w:t xml:space="preserve">Planowany zakład produkcyjny będzie produkował karmę mokrą dla zwierząt domowych (psy i koty). Karmą mokrą określa się produkty, które dostępne są w polskich sklepach w postaci </w:t>
      </w:r>
      <w:r w:rsidR="002140E3" w:rsidRPr="00000693">
        <w:t xml:space="preserve">między innymi </w:t>
      </w:r>
      <w:r w:rsidRPr="00000693">
        <w:t xml:space="preserve">puszek i saszetek. Technologia produkcji takich wyrobów jest niemal identyczna jak produkcja puszek z żywnością dla ludzi. </w:t>
      </w:r>
    </w:p>
    <w:p w:rsidR="004D050A" w:rsidRDefault="004D050A" w:rsidP="008E3F03">
      <w:pPr>
        <w:pStyle w:val="ListParagraph"/>
        <w:jc w:val="both"/>
      </w:pPr>
    </w:p>
    <w:p w:rsidR="005F6C15" w:rsidRPr="004D050A" w:rsidRDefault="004D050A" w:rsidP="008E3F03">
      <w:pPr>
        <w:pStyle w:val="ListParagraph"/>
        <w:jc w:val="both"/>
        <w:rPr>
          <w:b/>
          <w:bCs/>
        </w:rPr>
      </w:pPr>
      <w:r w:rsidRPr="004D050A">
        <w:rPr>
          <w:b/>
          <w:bCs/>
        </w:rPr>
        <w:t>Surowce mięsne</w:t>
      </w:r>
    </w:p>
    <w:p w:rsidR="005F6C15" w:rsidRPr="005F6C15" w:rsidRDefault="005F6C15" w:rsidP="008E3F0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5F6C15">
        <w:rPr>
          <w:b/>
          <w:bCs/>
        </w:rPr>
        <w:t>Będziemy przetwarzać wyłącznie surowiec z mięsa, nie odpady mięsne</w:t>
      </w:r>
      <w:r>
        <w:rPr>
          <w:b/>
          <w:bCs/>
        </w:rPr>
        <w:t xml:space="preserve">. </w:t>
      </w:r>
      <w:r w:rsidRPr="00000693">
        <w:t>Są to surowce identyczne z tymi wykorzystywanymi w produkcji mięs przetworzonych dla ludzi</w:t>
      </w:r>
      <w:r>
        <w:t>.</w:t>
      </w:r>
      <w:r w:rsidRPr="00000693">
        <w:t xml:space="preserve"> </w:t>
      </w:r>
    </w:p>
    <w:p w:rsidR="005F6C15" w:rsidRDefault="008D3F27" w:rsidP="008E3F03">
      <w:pPr>
        <w:pStyle w:val="ListParagraph"/>
        <w:jc w:val="both"/>
      </w:pPr>
      <w:r w:rsidRPr="00000693">
        <w:t xml:space="preserve">Typowa karma mokra składa się przede wszystkim z </w:t>
      </w:r>
      <w:r w:rsidR="002140E3" w:rsidRPr="00000693">
        <w:t>mięsa, wody, dodatków zbożowych</w:t>
      </w:r>
      <w:r w:rsidR="005064E4" w:rsidRPr="00000693">
        <w:t>,</w:t>
      </w:r>
      <w:r w:rsidR="002140E3" w:rsidRPr="00000693">
        <w:t xml:space="preserve"> dodatków mineralnych i witaminowych. </w:t>
      </w:r>
      <w:r w:rsidRPr="00000693">
        <w:t xml:space="preserve">Do produkcji karmy wykorzystywane będą </w:t>
      </w:r>
      <w:r w:rsidR="002140E3" w:rsidRPr="00000693">
        <w:t xml:space="preserve">jedynie </w:t>
      </w:r>
      <w:r w:rsidRPr="00000693">
        <w:t>surowce mięsne takie jak</w:t>
      </w:r>
      <w:r w:rsidR="002140E3" w:rsidRPr="00000693">
        <w:t>, w przypadku drobiu: szyje,</w:t>
      </w:r>
      <w:r w:rsidR="006C2462">
        <w:t xml:space="preserve"> </w:t>
      </w:r>
      <w:r w:rsidR="00F541E1" w:rsidRPr="00000693">
        <w:t>porcje rosołowe</w:t>
      </w:r>
      <w:r w:rsidR="002140E3" w:rsidRPr="00000693">
        <w:t>, serca, wątróbki, żołądki,</w:t>
      </w:r>
      <w:r w:rsidR="004D050A">
        <w:t xml:space="preserve"> </w:t>
      </w:r>
      <w:r w:rsidR="002140E3" w:rsidRPr="00000693">
        <w:t>w przypadku wieprzowiny: wątróbka,</w:t>
      </w:r>
      <w:r w:rsidR="00D01D83">
        <w:t xml:space="preserve"> </w:t>
      </w:r>
      <w:r w:rsidR="00F541E1" w:rsidRPr="00000693">
        <w:t>drobny surowiec mięsny</w:t>
      </w:r>
      <w:r w:rsidR="002140E3" w:rsidRPr="00000693">
        <w:t>, serca, skóry. Są to surowce identyczne z tymi wykorzystywan</w:t>
      </w:r>
      <w:r w:rsidR="00FC7168" w:rsidRPr="00000693">
        <w:t>ym</w:t>
      </w:r>
      <w:r w:rsidR="002140E3" w:rsidRPr="00000693">
        <w:t xml:space="preserve">i w produkcji mięs przetworzonych dla ludzi. </w:t>
      </w:r>
    </w:p>
    <w:p w:rsidR="002140E3" w:rsidRPr="004D050A" w:rsidRDefault="002140E3" w:rsidP="008E3F0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000693">
        <w:t>Z uwagi na ich mniejszą popularność w diecie ludzi, cena tych produktów jest znacznie niższa niż cena produktów pełnomięsnych, dlatego te</w:t>
      </w:r>
      <w:r w:rsidR="0059484D" w:rsidRPr="00000693">
        <w:t>ż</w:t>
      </w:r>
      <w:r w:rsidRPr="00000693">
        <w:t xml:space="preserve"> są z powodzeniem wykorzystywane w produkcji karmy dla naszych pupili.</w:t>
      </w:r>
      <w:r w:rsidR="0059484D" w:rsidRPr="00000693">
        <w:t xml:space="preserve"> Tego typu surowce nie różnią się w żaden sposób zapachowo od surowców </w:t>
      </w:r>
      <w:r w:rsidR="00F541E1" w:rsidRPr="00000693">
        <w:t xml:space="preserve">wykorzystywanych przy produkcji konserw </w:t>
      </w:r>
      <w:r w:rsidR="0059484D" w:rsidRPr="00000693">
        <w:t>dla ludzi.</w:t>
      </w:r>
    </w:p>
    <w:p w:rsidR="004D050A" w:rsidRPr="00000693" w:rsidRDefault="004D050A" w:rsidP="008E3F03">
      <w:pPr>
        <w:pStyle w:val="ListParagraph"/>
        <w:numPr>
          <w:ilvl w:val="0"/>
          <w:numId w:val="8"/>
        </w:numPr>
        <w:jc w:val="both"/>
      </w:pPr>
      <w:r w:rsidRPr="00000693">
        <w:t xml:space="preserve">Pragniemy podkreślić, że w </w:t>
      </w:r>
      <w:r w:rsidRPr="004D050A">
        <w:rPr>
          <w:b/>
          <w:bCs/>
        </w:rPr>
        <w:t>zakładzie tym nie będą wykorzystywane do produkcji żadne odpady mogące być źródłem uciążliwości zapachowej a w szczególności pióra, tzw. odpady miękkie</w:t>
      </w:r>
      <w:r w:rsidR="008E3F03">
        <w:rPr>
          <w:b/>
          <w:bCs/>
        </w:rPr>
        <w:t>,</w:t>
      </w:r>
      <w:r w:rsidRPr="004D050A">
        <w:rPr>
          <w:b/>
          <w:bCs/>
        </w:rPr>
        <w:t xml:space="preserve"> jak jelita czy padłe zwierzęta.</w:t>
      </w:r>
      <w:r w:rsidRPr="00000693">
        <w:t xml:space="preserve"> Po pierwsze nie wolno używać części</w:t>
      </w:r>
      <w:r>
        <w:t xml:space="preserve"> </w:t>
      </w:r>
      <w:r w:rsidRPr="00000693">
        <w:t>tego typu produktów w produkcji mokrej karmy dla zwierząt</w:t>
      </w:r>
      <w:r>
        <w:t xml:space="preserve"> </w:t>
      </w:r>
      <w:r w:rsidR="00EF3E4B">
        <w:t>(</w:t>
      </w:r>
      <w:r w:rsidR="00937862" w:rsidRPr="00EF3E4B">
        <w:t>Rozporządzenie Parlamentu Europejskiego i Rady (WE) nr 1069/2009 z dnia 21 października 2009</w:t>
      </w:r>
      <w:r w:rsidR="00EF3E4B" w:rsidRPr="00EF3E4B">
        <w:t>)</w:t>
      </w:r>
      <w:r w:rsidR="00937862" w:rsidRPr="00EF3E4B">
        <w:t xml:space="preserve"> </w:t>
      </w:r>
      <w:r w:rsidRPr="00EF3E4B">
        <w:t xml:space="preserve">, </w:t>
      </w:r>
      <w:r w:rsidRPr="00000693">
        <w:t>po drugie nie nadają się one do tego typu produkcji z powodu zagrożeń zdrowotnych dla zwierząt</w:t>
      </w:r>
      <w:r w:rsidR="00EF3E4B">
        <w:t xml:space="preserve"> towarzyszących.</w:t>
      </w:r>
    </w:p>
    <w:p w:rsidR="004D050A" w:rsidRPr="004D050A" w:rsidRDefault="004D050A" w:rsidP="004D050A">
      <w:pPr>
        <w:pStyle w:val="ListParagraph"/>
        <w:rPr>
          <w:b/>
          <w:bCs/>
        </w:rPr>
      </w:pPr>
    </w:p>
    <w:p w:rsidR="004D050A" w:rsidRPr="005F6C15" w:rsidRDefault="004D050A" w:rsidP="004D050A">
      <w:pPr>
        <w:pStyle w:val="ListParagraph"/>
        <w:rPr>
          <w:b/>
          <w:bCs/>
        </w:rPr>
      </w:pPr>
    </w:p>
    <w:p w:rsidR="005F6C15" w:rsidRPr="005F6C15" w:rsidRDefault="005F6C15" w:rsidP="005F6C15">
      <w:pPr>
        <w:pStyle w:val="ListParagraph"/>
        <w:rPr>
          <w:b/>
          <w:bCs/>
        </w:rPr>
      </w:pPr>
      <w:r w:rsidRPr="005F6C15">
        <w:rPr>
          <w:b/>
          <w:bCs/>
        </w:rPr>
        <w:t>Transport</w:t>
      </w:r>
      <w:r w:rsidR="004D050A">
        <w:rPr>
          <w:b/>
          <w:bCs/>
        </w:rPr>
        <w:t xml:space="preserve"> i chłodzenie</w:t>
      </w:r>
    </w:p>
    <w:p w:rsidR="004D050A" w:rsidRDefault="002140E3" w:rsidP="008E3F03">
      <w:pPr>
        <w:pStyle w:val="ListParagraph"/>
        <w:numPr>
          <w:ilvl w:val="0"/>
          <w:numId w:val="8"/>
        </w:numPr>
        <w:jc w:val="both"/>
      </w:pPr>
      <w:r w:rsidRPr="00000693">
        <w:t>Surowiec do zakładu będzie przywożony specjalistycznymi samochodami wyposażonymi w mroźnie lub chłodnie. Dostarczany surowiec będzie zmro</w:t>
      </w:r>
      <w:r w:rsidR="0059484D" w:rsidRPr="00000693">
        <w:t>ż</w:t>
      </w:r>
      <w:r w:rsidRPr="00000693">
        <w:t xml:space="preserve">ony do -18st.C lub schłodzony do </w:t>
      </w:r>
      <w:r w:rsidR="00F541E1" w:rsidRPr="00000693">
        <w:t>0</w:t>
      </w:r>
      <w:r w:rsidRPr="00000693">
        <w:t xml:space="preserve">-4 st.C. </w:t>
      </w:r>
      <w:r w:rsidR="005064E4" w:rsidRPr="00000693">
        <w:t>Rozładunek surowców</w:t>
      </w:r>
      <w:r w:rsidR="004D050A">
        <w:t xml:space="preserve"> </w:t>
      </w:r>
      <w:r w:rsidRPr="00000693">
        <w:t xml:space="preserve">z samochodu </w:t>
      </w:r>
      <w:r w:rsidR="005064E4" w:rsidRPr="00000693">
        <w:t>będzie się odbywała na rampie wyładowczej w temperaturze od 8 do 12 stopni</w:t>
      </w:r>
      <w:r w:rsidR="004D050A">
        <w:t xml:space="preserve"> </w:t>
      </w:r>
      <w:r w:rsidR="005064E4" w:rsidRPr="00000693">
        <w:t>za pośrednictwem</w:t>
      </w:r>
      <w:r w:rsidRPr="00000693">
        <w:t xml:space="preserve"> </w:t>
      </w:r>
      <w:r w:rsidR="00FC7168" w:rsidRPr="00000693">
        <w:t>pneumatyczn</w:t>
      </w:r>
      <w:r w:rsidR="005064E4" w:rsidRPr="00000693">
        <w:t>ego</w:t>
      </w:r>
      <w:r w:rsidR="00FC7168" w:rsidRPr="00000693">
        <w:t xml:space="preserve"> </w:t>
      </w:r>
      <w:r w:rsidRPr="00000693">
        <w:t>rękaw</w:t>
      </w:r>
      <w:r w:rsidR="005064E4" w:rsidRPr="00000693">
        <w:t>a</w:t>
      </w:r>
      <w:r w:rsidR="008E3F03">
        <w:t>,</w:t>
      </w:r>
      <w:r w:rsidR="00F541E1" w:rsidRPr="00000693">
        <w:t xml:space="preserve"> co zapewni </w:t>
      </w:r>
      <w:r w:rsidR="00132B1B">
        <w:t>szczelne</w:t>
      </w:r>
      <w:r w:rsidR="00F541E1" w:rsidRPr="00000693">
        <w:t xml:space="preserve"> połączenie samochodu z budynkiem</w:t>
      </w:r>
      <w:r w:rsidR="00132B1B">
        <w:t>. N</w:t>
      </w:r>
      <w:r w:rsidR="005064E4" w:rsidRPr="00000693">
        <w:t>astępnie</w:t>
      </w:r>
      <w:r w:rsidR="00132B1B">
        <w:t xml:space="preserve"> surowiec</w:t>
      </w:r>
      <w:r w:rsidR="005064E4" w:rsidRPr="00000693">
        <w:t xml:space="preserve"> będzie trafiał</w:t>
      </w:r>
      <w:r w:rsidR="004D050A">
        <w:t xml:space="preserve"> </w:t>
      </w:r>
      <w:r w:rsidRPr="00000693">
        <w:t>bezpośrednio do magazynu</w:t>
      </w:r>
      <w:r w:rsidR="008E3F03">
        <w:t>,</w:t>
      </w:r>
      <w:r w:rsidRPr="00000693">
        <w:t xml:space="preserve"> w którym obowiązuje ten sam reżim temperaturowy</w:t>
      </w:r>
      <w:r w:rsidR="005064E4" w:rsidRPr="00000693">
        <w:t xml:space="preserve"> co podczas transportu</w:t>
      </w:r>
      <w:r w:rsidR="004D050A">
        <w:t xml:space="preserve"> </w:t>
      </w:r>
      <w:r w:rsidRPr="00000693">
        <w:t xml:space="preserve">(odpowiednio -18st.C lub </w:t>
      </w:r>
      <w:r w:rsidR="00F541E1" w:rsidRPr="00000693">
        <w:t>0</w:t>
      </w:r>
      <w:r w:rsidRPr="00000693">
        <w:t>-4st.C).</w:t>
      </w:r>
      <w:r w:rsidR="004D050A">
        <w:t xml:space="preserve"> </w:t>
      </w:r>
    </w:p>
    <w:p w:rsidR="004D050A" w:rsidRDefault="004D050A" w:rsidP="004D050A">
      <w:pPr>
        <w:pStyle w:val="ListParagraph"/>
      </w:pPr>
    </w:p>
    <w:p w:rsidR="004D050A" w:rsidRPr="004D050A" w:rsidRDefault="004D050A" w:rsidP="008E3F03">
      <w:pPr>
        <w:pStyle w:val="ListParagraph"/>
        <w:jc w:val="both"/>
        <w:rPr>
          <w:b/>
          <w:bCs/>
        </w:rPr>
      </w:pPr>
      <w:r w:rsidRPr="004D050A">
        <w:rPr>
          <w:b/>
          <w:bCs/>
        </w:rPr>
        <w:t>Bardzo rygorystyczne wymagania sanitarne</w:t>
      </w:r>
    </w:p>
    <w:p w:rsidR="002140E3" w:rsidRDefault="0059484D" w:rsidP="008E3F03">
      <w:pPr>
        <w:pStyle w:val="ListParagraph"/>
        <w:numPr>
          <w:ilvl w:val="0"/>
          <w:numId w:val="8"/>
        </w:numPr>
        <w:jc w:val="both"/>
      </w:pPr>
      <w:r w:rsidRPr="00000693">
        <w:t>Podobnie jak w produkcji żywności dla ludzi, tak i w produkcji karmy dla zwierząt obowiązują bardzo rygorystyczne wymagania sanitarne, tak</w:t>
      </w:r>
      <w:r w:rsidR="008E3F03">
        <w:t>,</w:t>
      </w:r>
      <w:r w:rsidRPr="00000693">
        <w:t xml:space="preserve"> aby produkt był bezpieczny dla zwierząt i zachował najwyższą świeżość i jakość. Taki sposób transportu i przechowywania surowca gwarantuje również, że nie będzie on powodował powstawania uciążliwości zapachowej dla otoczenia.</w:t>
      </w:r>
    </w:p>
    <w:p w:rsidR="004D050A" w:rsidRDefault="004D050A" w:rsidP="004D050A">
      <w:pPr>
        <w:pStyle w:val="ListParagraph"/>
      </w:pPr>
    </w:p>
    <w:p w:rsidR="004D050A" w:rsidRPr="004D050A" w:rsidRDefault="004D050A" w:rsidP="004D050A">
      <w:pPr>
        <w:pStyle w:val="ListParagraph"/>
        <w:rPr>
          <w:b/>
          <w:bCs/>
        </w:rPr>
      </w:pPr>
      <w:r w:rsidRPr="004D050A">
        <w:rPr>
          <w:b/>
          <w:bCs/>
        </w:rPr>
        <w:t>Proces produkcji</w:t>
      </w:r>
    </w:p>
    <w:p w:rsidR="004D050A" w:rsidRDefault="0059484D" w:rsidP="008E3F03">
      <w:pPr>
        <w:pStyle w:val="ListParagraph"/>
        <w:numPr>
          <w:ilvl w:val="0"/>
          <w:numId w:val="8"/>
        </w:numPr>
        <w:jc w:val="both"/>
      </w:pPr>
      <w:r w:rsidRPr="00000693">
        <w:t>Sam proces produkcji polega na przygotowaniu tak zwanego farszu (mieszanka różnego rodzaju mięs, wspomnianych zbóż, mąki, wody i dodatków mineralnych i witaminowych), następnie podlega błyskawiczne sparzeniu (proces trwa maks</w:t>
      </w:r>
      <w:r w:rsidR="00FC7168" w:rsidRPr="00000693">
        <w:t>ymalnie</w:t>
      </w:r>
      <w:r w:rsidRPr="00000693">
        <w:t xml:space="preserve"> 2 minuty). Całość jest następnie pakowana do </w:t>
      </w:r>
      <w:r w:rsidR="00FC7168" w:rsidRPr="00000693">
        <w:t xml:space="preserve">hermetycznych opakować tj. </w:t>
      </w:r>
      <w:r w:rsidRPr="00000693">
        <w:t>pusz</w:t>
      </w:r>
      <w:r w:rsidR="00132B1B">
        <w:t>ki</w:t>
      </w:r>
      <w:r w:rsidRPr="004D050A">
        <w:rPr>
          <w:color w:val="FF0000"/>
        </w:rPr>
        <w:t xml:space="preserve"> </w:t>
      </w:r>
      <w:r w:rsidR="00FC7168" w:rsidRPr="00000693">
        <w:t>oraz</w:t>
      </w:r>
      <w:r w:rsidRPr="00000693">
        <w:t xml:space="preserve"> saszetk</w:t>
      </w:r>
      <w:r w:rsidR="00FC7168" w:rsidRPr="00000693">
        <w:t>i</w:t>
      </w:r>
      <w:r w:rsidRPr="00000693">
        <w:t xml:space="preserve">. Tak przygotowany produkt jest poddawany </w:t>
      </w:r>
      <w:r w:rsidR="00F541E1" w:rsidRPr="00000693">
        <w:t xml:space="preserve">głównej obróbce tj. </w:t>
      </w:r>
      <w:r w:rsidRPr="00000693">
        <w:t>gotowaniu/sterylizacji w specjalnych</w:t>
      </w:r>
      <w:r w:rsidR="004D050A">
        <w:t xml:space="preserve"> </w:t>
      </w:r>
      <w:r w:rsidRPr="00000693">
        <w:t>urządzeniach</w:t>
      </w:r>
      <w:r w:rsidR="00FC7168" w:rsidRPr="00000693">
        <w:t xml:space="preserve"> -</w:t>
      </w:r>
      <w:r w:rsidR="004D050A">
        <w:t xml:space="preserve"> </w:t>
      </w:r>
      <w:r w:rsidRPr="00000693">
        <w:t>autoklawa</w:t>
      </w:r>
      <w:r w:rsidR="00FC7168" w:rsidRPr="00000693">
        <w:t>ch</w:t>
      </w:r>
      <w:r w:rsidRPr="00000693">
        <w:t xml:space="preserve"> przez około </w:t>
      </w:r>
      <w:r w:rsidR="00FC7168" w:rsidRPr="00000693">
        <w:t>2</w:t>
      </w:r>
      <w:r w:rsidRPr="00000693">
        <w:t xml:space="preserve"> godzin</w:t>
      </w:r>
      <w:r w:rsidR="005064E4" w:rsidRPr="00000693">
        <w:t>y</w:t>
      </w:r>
      <w:r w:rsidRPr="00000693">
        <w:t xml:space="preserve">. </w:t>
      </w:r>
    </w:p>
    <w:p w:rsidR="0059484D" w:rsidRPr="00000693" w:rsidRDefault="008E3F03" w:rsidP="008E3F03">
      <w:pPr>
        <w:pStyle w:val="ListParagraph"/>
        <w:jc w:val="both"/>
      </w:pPr>
      <w:r>
        <w:t xml:space="preserve">Specyfika procesu produkcji, </w:t>
      </w:r>
      <w:r w:rsidR="005064E4" w:rsidRPr="00000693">
        <w:t>kiedy to</w:t>
      </w:r>
      <w:r w:rsidR="004D050A">
        <w:t xml:space="preserve"> </w:t>
      </w:r>
      <w:r w:rsidR="0059484D" w:rsidRPr="00000693">
        <w:t xml:space="preserve">produkt jest poddawany </w:t>
      </w:r>
      <w:r w:rsidR="00F541E1" w:rsidRPr="00000693">
        <w:t xml:space="preserve">głównej </w:t>
      </w:r>
      <w:r w:rsidR="0059484D" w:rsidRPr="00000693">
        <w:t xml:space="preserve">obróbce termicznej już po hermetycznym zapakowaniu w puszkę lub saszetkę </w:t>
      </w:r>
      <w:r w:rsidR="00132B1B">
        <w:t>gwarantuje, iż</w:t>
      </w:r>
      <w:r w:rsidR="0059484D" w:rsidRPr="00000693">
        <w:t xml:space="preserve"> na zewnątrz opakowania a tym bardziej na zewnątrz zakładu</w:t>
      </w:r>
      <w:r w:rsidR="004D050A">
        <w:t xml:space="preserve"> -</w:t>
      </w:r>
      <w:r w:rsidR="0059484D" w:rsidRPr="00000693">
        <w:t xml:space="preserve"> nie wydostaną się żadne zapachy związane z gotowaniem mięsa.</w:t>
      </w:r>
    </w:p>
    <w:p w:rsidR="00F0349D" w:rsidRPr="00000693" w:rsidRDefault="00F0349D" w:rsidP="008E3F03">
      <w:pPr>
        <w:pStyle w:val="ListParagraph"/>
        <w:numPr>
          <w:ilvl w:val="0"/>
          <w:numId w:val="8"/>
        </w:numPr>
        <w:jc w:val="both"/>
      </w:pPr>
      <w:r w:rsidRPr="00000693">
        <w:t>Ponadto pragniemy zwrócić uwagę, że w tym procesie produkcji nie będą powstawały żadne odpady pochodzenia zwierzęcego,</w:t>
      </w:r>
      <w:r w:rsidR="00132B1B">
        <w:t xml:space="preserve"> a tym samym nie </w:t>
      </w:r>
      <w:r w:rsidRPr="00000693">
        <w:t>będą przechowywane na zewnątrz zakładu.</w:t>
      </w:r>
    </w:p>
    <w:p w:rsidR="00B4103F" w:rsidRDefault="00B4103F" w:rsidP="008E3F03">
      <w:pPr>
        <w:ind w:firstLine="360"/>
        <w:jc w:val="both"/>
      </w:pPr>
      <w:r w:rsidRPr="00000693">
        <w:t xml:space="preserve">W przypadku dalszych wątpliwości chętnie spotkamy się z przedstawicielami </w:t>
      </w:r>
      <w:r w:rsidR="00132B1B">
        <w:t>M</w:t>
      </w:r>
      <w:r w:rsidRPr="00000693">
        <w:t>ieszkańców lub też wskażemy Państwu już istniejące zakłady, abyście mogli sami zobaczyć, że tego typu zakład nie powoduje uciążliwości dla otoczenia.</w:t>
      </w:r>
      <w:r w:rsidR="004D050A">
        <w:t xml:space="preserve"> </w:t>
      </w:r>
    </w:p>
    <w:p w:rsidR="00882D2D" w:rsidRPr="00000693" w:rsidRDefault="00882D2D" w:rsidP="00D01D83">
      <w:pPr>
        <w:ind w:firstLine="360"/>
      </w:pPr>
    </w:p>
    <w:p w:rsidR="00125E7D" w:rsidRPr="00000693" w:rsidRDefault="00125E7D" w:rsidP="008E3F03">
      <w:pPr>
        <w:ind w:firstLine="360"/>
        <w:jc w:val="both"/>
      </w:pPr>
      <w:r w:rsidRPr="00000693">
        <w:t>Oprócz zap</w:t>
      </w:r>
      <w:r w:rsidR="008E3F03">
        <w:t>ewnień o prowadzeniu produkcji, k</w:t>
      </w:r>
      <w:r w:rsidRPr="00000693">
        <w:t xml:space="preserve">tóra nie będzie w żaden negatywny sposób oddziaływać na otoczenie, pragniemy też przedstawić Państwu </w:t>
      </w:r>
      <w:r w:rsidRPr="00643106">
        <w:rPr>
          <w:b/>
          <w:bCs/>
        </w:rPr>
        <w:t>korzyści</w:t>
      </w:r>
      <w:r w:rsidR="008E3F03">
        <w:rPr>
          <w:b/>
          <w:bCs/>
        </w:rPr>
        <w:t>,</w:t>
      </w:r>
      <w:r w:rsidRPr="00643106">
        <w:rPr>
          <w:b/>
          <w:bCs/>
        </w:rPr>
        <w:t xml:space="preserve"> jakie </w:t>
      </w:r>
      <w:r w:rsidR="00F94ACA" w:rsidRPr="00643106">
        <w:rPr>
          <w:b/>
          <w:bCs/>
        </w:rPr>
        <w:t>Gmin</w:t>
      </w:r>
      <w:r w:rsidRPr="00643106">
        <w:rPr>
          <w:b/>
          <w:bCs/>
        </w:rPr>
        <w:t>a uzyska</w:t>
      </w:r>
      <w:r w:rsidRPr="00000693">
        <w:t xml:space="preserve"> dzięki zlokalizowaniu zakładu na ternie </w:t>
      </w:r>
      <w:r w:rsidR="00F94ACA" w:rsidRPr="00000693">
        <w:t>Gmin</w:t>
      </w:r>
      <w:r w:rsidRPr="00000693">
        <w:t xml:space="preserve">y Niemce. </w:t>
      </w:r>
    </w:p>
    <w:p w:rsidR="006D56F4" w:rsidRPr="00000693" w:rsidRDefault="00125E7D" w:rsidP="008E3F03">
      <w:pPr>
        <w:pStyle w:val="ListParagraph"/>
        <w:numPr>
          <w:ilvl w:val="0"/>
          <w:numId w:val="7"/>
        </w:numPr>
        <w:jc w:val="both"/>
      </w:pPr>
      <w:r w:rsidRPr="00132B1B">
        <w:rPr>
          <w:b/>
          <w:bCs/>
        </w:rPr>
        <w:t>Zakład docelowo będzie zatrudniał około 200 osób</w:t>
      </w:r>
      <w:r w:rsidRPr="00000693">
        <w:t>, zarówno pracowników produkcyjnych jak i wysokiej klasy specjalistów w zakresie automatyki, robotyki, technologów żywienia zwierząt, technologów produkcji, laborantów</w:t>
      </w:r>
      <w:r w:rsidRPr="00643106">
        <w:t xml:space="preserve">. Liczymy, że w zakładzie zatrudnienie znajdą przede wszystkim mieszkańcy </w:t>
      </w:r>
      <w:r w:rsidR="00F94ACA" w:rsidRPr="00643106">
        <w:t>Gmin</w:t>
      </w:r>
      <w:r w:rsidRPr="00643106">
        <w:t>y Niemce</w:t>
      </w:r>
      <w:r w:rsidRPr="00000693">
        <w:t xml:space="preserve"> oraz że zakład przyczyni się do rozwoju </w:t>
      </w:r>
      <w:r w:rsidR="00F94ACA" w:rsidRPr="00000693">
        <w:t>Gmin</w:t>
      </w:r>
      <w:r w:rsidRPr="00000693">
        <w:t>y Niemce.</w:t>
      </w:r>
    </w:p>
    <w:p w:rsidR="00125E7D" w:rsidRPr="00000693" w:rsidRDefault="00125E7D" w:rsidP="008E3F03">
      <w:pPr>
        <w:pStyle w:val="ListParagraph"/>
        <w:numPr>
          <w:ilvl w:val="0"/>
          <w:numId w:val="7"/>
        </w:numPr>
        <w:jc w:val="both"/>
      </w:pPr>
      <w:r w:rsidRPr="00132B1B">
        <w:rPr>
          <w:b/>
          <w:bCs/>
        </w:rPr>
        <w:t xml:space="preserve">Wpływy do budżetu </w:t>
      </w:r>
      <w:r w:rsidR="00F94ACA" w:rsidRPr="00132B1B">
        <w:rPr>
          <w:b/>
          <w:bCs/>
        </w:rPr>
        <w:t>Gmin</w:t>
      </w:r>
      <w:r w:rsidRPr="00132B1B">
        <w:rPr>
          <w:b/>
          <w:bCs/>
        </w:rPr>
        <w:t>y z podatków CIT i PIT</w:t>
      </w:r>
      <w:r w:rsidRPr="00000693">
        <w:t xml:space="preserve"> szacujemy na 300</w:t>
      </w:r>
      <w:r w:rsidR="00D01D83">
        <w:t xml:space="preserve"> 000 </w:t>
      </w:r>
      <w:r w:rsidRPr="00000693">
        <w:t>500</w:t>
      </w:r>
      <w:r w:rsidR="00D01D83">
        <w:t> 000 złotych</w:t>
      </w:r>
      <w:r w:rsidRPr="00000693">
        <w:t xml:space="preserve"> rocznie w latach 2021-2023 a łącznie w okresie 15 lat wpływy do </w:t>
      </w:r>
      <w:r w:rsidR="00F94ACA" w:rsidRPr="00000693">
        <w:t>Gmin</w:t>
      </w:r>
      <w:r w:rsidRPr="00000693">
        <w:t>y powinny wynieść 11 000 000 – 13 000</w:t>
      </w:r>
      <w:r w:rsidR="00D01D83">
        <w:t> </w:t>
      </w:r>
      <w:r w:rsidRPr="00000693">
        <w:t>000</w:t>
      </w:r>
      <w:r w:rsidR="00D01D83">
        <w:t xml:space="preserve"> złotych</w:t>
      </w:r>
      <w:r w:rsidRPr="00000693">
        <w:t>.</w:t>
      </w:r>
    </w:p>
    <w:p w:rsidR="00125E7D" w:rsidRPr="00000693" w:rsidRDefault="00125E7D" w:rsidP="008E3F03">
      <w:pPr>
        <w:pStyle w:val="ListParagraph"/>
        <w:numPr>
          <w:ilvl w:val="0"/>
          <w:numId w:val="7"/>
        </w:numPr>
        <w:jc w:val="both"/>
      </w:pPr>
      <w:r w:rsidRPr="00000693">
        <w:t xml:space="preserve">Pragniemy rozpocząć </w:t>
      </w:r>
      <w:r w:rsidRPr="00132B1B">
        <w:rPr>
          <w:b/>
          <w:bCs/>
        </w:rPr>
        <w:t>współpracę z ZSP w zakresie organizacji praktyk dla uczniów ZSP</w:t>
      </w:r>
      <w:r w:rsidRPr="00000693">
        <w:t xml:space="preserve"> oraz utworzenie w ZSP profilu </w:t>
      </w:r>
      <w:r w:rsidR="008E3F03">
        <w:t xml:space="preserve">nauczania lub laboratorium, tak, </w:t>
      </w:r>
      <w:r w:rsidRPr="00000693">
        <w:t>aby absolwenci szkoły mogli znaleźć zatrudnienie w zakładzie.</w:t>
      </w:r>
    </w:p>
    <w:p w:rsidR="00125E7D" w:rsidRPr="00000693" w:rsidRDefault="00125E7D" w:rsidP="008E3F03">
      <w:pPr>
        <w:pStyle w:val="ListParagraph"/>
        <w:numPr>
          <w:ilvl w:val="0"/>
          <w:numId w:val="7"/>
        </w:numPr>
        <w:jc w:val="both"/>
      </w:pPr>
      <w:r w:rsidRPr="00000693">
        <w:t xml:space="preserve">Zaoferuje </w:t>
      </w:r>
      <w:r w:rsidR="00F94ACA" w:rsidRPr="00000693">
        <w:t>Gmin</w:t>
      </w:r>
      <w:r w:rsidRPr="00000693">
        <w:t xml:space="preserve">ie </w:t>
      </w:r>
      <w:r w:rsidRPr="00132B1B">
        <w:rPr>
          <w:b/>
          <w:bCs/>
        </w:rPr>
        <w:t>wsparcie w realizacji niektórych inwestycji pożytku publicznego</w:t>
      </w:r>
      <w:r w:rsidRPr="00000693">
        <w:t xml:space="preserve"> oraz sponsoring dziecięcych drużyn sportowych.</w:t>
      </w:r>
    </w:p>
    <w:p w:rsidR="00125E7D" w:rsidRDefault="00125E7D" w:rsidP="008E3F03">
      <w:pPr>
        <w:pStyle w:val="ListParagraph"/>
        <w:numPr>
          <w:ilvl w:val="0"/>
          <w:numId w:val="7"/>
        </w:numPr>
        <w:jc w:val="both"/>
      </w:pPr>
      <w:r w:rsidRPr="00000693">
        <w:t>Przewidujemy roczny budżet na zaangażowanie ze strony Pet</w:t>
      </w:r>
      <w:r w:rsidR="008E3F03">
        <w:t xml:space="preserve"> R</w:t>
      </w:r>
      <w:r w:rsidRPr="00000693">
        <w:t xml:space="preserve">epublic w </w:t>
      </w:r>
      <w:r w:rsidR="00F94ACA" w:rsidRPr="00000693">
        <w:t xml:space="preserve">powyższe działania w kwocie </w:t>
      </w:r>
      <w:r w:rsidR="00F94ACA" w:rsidRPr="00132B1B">
        <w:rPr>
          <w:b/>
          <w:bCs/>
        </w:rPr>
        <w:t>nie mniejszej niż 100 000 złotych rocznie</w:t>
      </w:r>
      <w:r w:rsidR="00F94ACA" w:rsidRPr="00000693">
        <w:t>.</w:t>
      </w:r>
    </w:p>
    <w:p w:rsidR="00643106" w:rsidRPr="00000693" w:rsidRDefault="00643106" w:rsidP="00643106">
      <w:pPr>
        <w:pStyle w:val="ListParagraph"/>
      </w:pPr>
    </w:p>
    <w:p w:rsidR="006D56F4" w:rsidRDefault="006D56F4" w:rsidP="00943775">
      <w:pPr>
        <w:ind w:firstLine="360"/>
        <w:jc w:val="both"/>
      </w:pPr>
      <w:r w:rsidRPr="00000693">
        <w:t xml:space="preserve">Produkcję karmy dla zwierząt w zakładzie na ternie </w:t>
      </w:r>
      <w:r w:rsidR="00F94ACA" w:rsidRPr="00000693">
        <w:t>Gmin</w:t>
      </w:r>
      <w:r w:rsidRPr="00000693">
        <w:t>y Niemce prowadzić będzie spółka Petrepublic powołana w 2019 roku do realizacji tego projektów.</w:t>
      </w:r>
      <w:r w:rsidR="004D050A">
        <w:t xml:space="preserve"> </w:t>
      </w:r>
      <w:r w:rsidR="004D050A" w:rsidRPr="002976F1">
        <w:rPr>
          <w:color w:val="000000" w:themeColor="text1"/>
        </w:rPr>
        <w:t xml:space="preserve">Docelowo ma </w:t>
      </w:r>
      <w:r w:rsidR="002976F1">
        <w:rPr>
          <w:color w:val="000000" w:themeColor="text1"/>
        </w:rPr>
        <w:t xml:space="preserve">produkować i </w:t>
      </w:r>
      <w:r w:rsidR="004D050A" w:rsidRPr="002976F1">
        <w:rPr>
          <w:color w:val="000000" w:themeColor="text1"/>
        </w:rPr>
        <w:t>sprzedawać karmy dla zwierząt do głównych sieci handlowych w Polsce.</w:t>
      </w:r>
      <w:r w:rsidRPr="002976F1">
        <w:rPr>
          <w:color w:val="000000" w:themeColor="text1"/>
        </w:rPr>
        <w:t xml:space="preserve"> </w:t>
      </w:r>
      <w:r w:rsidR="004D050A" w:rsidRPr="002976F1">
        <w:rPr>
          <w:color w:val="000000" w:themeColor="text1"/>
        </w:rPr>
        <w:t>Firma wpisuje się w rozwój branży spożywczej, która jest kluczowa dla województwa lubelskiego</w:t>
      </w:r>
      <w:r w:rsidR="00C8757C" w:rsidRPr="002976F1">
        <w:rPr>
          <w:color w:val="000000" w:themeColor="text1"/>
        </w:rPr>
        <w:t xml:space="preserve"> (</w:t>
      </w:r>
      <w:hyperlink r:id="rId8" w:history="1">
        <w:r w:rsidR="00C8757C" w:rsidRPr="002976F1">
          <w:rPr>
            <w:rStyle w:val="Hyperlink"/>
            <w:color w:val="000000" w:themeColor="text1"/>
          </w:rPr>
          <w:t>https://gospodarczy.lublin.eu/branze/przetworstwo-zywnosci</w:t>
        </w:r>
      </w:hyperlink>
      <w:r w:rsidR="00C8757C" w:rsidRPr="002976F1">
        <w:rPr>
          <w:color w:val="000000" w:themeColor="text1"/>
        </w:rPr>
        <w:t xml:space="preserve">). </w:t>
      </w:r>
      <w:r w:rsidRPr="002976F1">
        <w:rPr>
          <w:color w:val="000000" w:themeColor="text1"/>
        </w:rPr>
        <w:t xml:space="preserve">Firma Petrepublic będzie </w:t>
      </w:r>
      <w:r w:rsidRPr="00000693">
        <w:t xml:space="preserve">wynajmowała hale produkcyjna od </w:t>
      </w:r>
      <w:r w:rsidR="00A9378A">
        <w:t xml:space="preserve">Lublin Logistics Sp. z o.o., </w:t>
      </w:r>
      <w:r w:rsidRPr="00000693">
        <w:t xml:space="preserve">który jest właścicielem i operatorem parku przemysłowego. </w:t>
      </w:r>
      <w:r w:rsidR="00943775">
        <w:t>Inwestor</w:t>
      </w:r>
      <w:r w:rsidRPr="00000693">
        <w:t xml:space="preserve"> ten uzyskał </w:t>
      </w:r>
      <w:r w:rsidR="00943775">
        <w:t xml:space="preserve">w lipcu 2020 r. </w:t>
      </w:r>
      <w:r w:rsidRPr="00000693">
        <w:t>zgodę na b</w:t>
      </w:r>
      <w:r w:rsidR="00943775">
        <w:t>udowę parku przemysłowego o pow. łącznej ok. 50.000 m2</w:t>
      </w:r>
      <w:r w:rsidRPr="00000693">
        <w:t xml:space="preserve">. </w:t>
      </w:r>
      <w:r w:rsidR="00943775">
        <w:t xml:space="preserve">Od sierpnia zeszłego roku na pow. ponad </w:t>
      </w:r>
      <w:r w:rsidR="00642411">
        <w:t>20.000 m2</w:t>
      </w:r>
      <w:r w:rsidRPr="00000693">
        <w:t xml:space="preserve"> w parku prowadzona jest już działalność </w:t>
      </w:r>
      <w:r w:rsidR="00642411">
        <w:t>polegająca na produkcji lamp samochodowych.</w:t>
      </w:r>
    </w:p>
    <w:p w:rsidR="00643106" w:rsidRDefault="00643106"/>
    <w:p w:rsidR="00C8757C" w:rsidRDefault="00C8757C">
      <w:pPr>
        <w:rPr>
          <w:b/>
          <w:bCs/>
          <w:color w:val="000000" w:themeColor="text1"/>
        </w:rPr>
      </w:pPr>
      <w:r w:rsidRPr="002976F1">
        <w:rPr>
          <w:b/>
          <w:bCs/>
          <w:color w:val="000000" w:themeColor="text1"/>
        </w:rPr>
        <w:t>ODPOWIEDZI DOTYCZĄCE DOKUMENTÓW I SPECYFIKACJI ZAWARTEJ W PIŚMIE:</w:t>
      </w:r>
    </w:p>
    <w:p w:rsidR="008D3F27" w:rsidRPr="00000693" w:rsidRDefault="008D3F27">
      <w:r w:rsidRPr="00000693">
        <w:t xml:space="preserve"> </w:t>
      </w:r>
      <w:r w:rsidR="00B4103F" w:rsidRPr="00000693">
        <w:t>Poniżej pragniemy zaadresować kwestie związane z planowym zakładem:</w:t>
      </w:r>
    </w:p>
    <w:p w:rsidR="00D60D60" w:rsidRDefault="00F51ED6" w:rsidP="008E3F03">
      <w:pPr>
        <w:pStyle w:val="ListParagraph"/>
        <w:numPr>
          <w:ilvl w:val="0"/>
          <w:numId w:val="1"/>
        </w:numPr>
        <w:jc w:val="both"/>
      </w:pPr>
      <w:r w:rsidRPr="00000693">
        <w:rPr>
          <w:b/>
          <w:bCs/>
        </w:rPr>
        <w:t>Dokument</w:t>
      </w:r>
      <w:r w:rsidR="002976F1">
        <w:rPr>
          <w:b/>
          <w:bCs/>
        </w:rPr>
        <w:t xml:space="preserve"> </w:t>
      </w:r>
      <w:r w:rsidRPr="00000693">
        <w:t xml:space="preserve">Komisji Europejskiej z maja 2005 na który </w:t>
      </w:r>
      <w:r w:rsidRPr="00000693">
        <w:rPr>
          <w:b/>
          <w:bCs/>
        </w:rPr>
        <w:t xml:space="preserve">powołują się </w:t>
      </w:r>
      <w:r w:rsidR="002976F1">
        <w:rPr>
          <w:b/>
          <w:bCs/>
        </w:rPr>
        <w:t xml:space="preserve">Mieszkańcy                         </w:t>
      </w:r>
      <w:r w:rsidRPr="00000693">
        <w:t xml:space="preserve"> (</w:t>
      </w:r>
      <w:r w:rsidR="00D60D60" w:rsidRPr="00000693">
        <w:rPr>
          <w:i/>
          <w:iCs/>
        </w:rPr>
        <w:t xml:space="preserve">Zintegrowane </w:t>
      </w:r>
      <w:r w:rsidR="00996786" w:rsidRPr="00000693">
        <w:rPr>
          <w:i/>
          <w:iCs/>
        </w:rPr>
        <w:t xml:space="preserve">Zapobieganie </w:t>
      </w:r>
      <w:r w:rsidRPr="00000693">
        <w:rPr>
          <w:i/>
          <w:iCs/>
        </w:rPr>
        <w:t xml:space="preserve">Zanieczyszczenia </w:t>
      </w:r>
      <w:r w:rsidR="00996786" w:rsidRPr="00000693">
        <w:rPr>
          <w:i/>
          <w:iCs/>
        </w:rPr>
        <w:t>i ich Kontrola. Dokument Referencyjny na temat Najlepszych Dostępnych technik dla Rzeźni oraz Przetwórstwa Produktów Ubocznych Pochodzenia Zwierzęcego</w:t>
      </w:r>
      <w:r w:rsidRPr="00000693">
        <w:rPr>
          <w:i/>
          <w:iCs/>
        </w:rPr>
        <w:t>)</w:t>
      </w:r>
      <w:r w:rsidR="004D050A">
        <w:rPr>
          <w:i/>
          <w:iCs/>
        </w:rPr>
        <w:t xml:space="preserve"> </w:t>
      </w:r>
      <w:r w:rsidR="00996786" w:rsidRPr="00000693">
        <w:rPr>
          <w:b/>
          <w:bCs/>
        </w:rPr>
        <w:t xml:space="preserve">nie </w:t>
      </w:r>
      <w:r w:rsidR="008E3F03">
        <w:rPr>
          <w:b/>
          <w:bCs/>
        </w:rPr>
        <w:t xml:space="preserve">dotyczy planowanej działalności, </w:t>
      </w:r>
      <w:r w:rsidR="00996786" w:rsidRPr="002976F1">
        <w:t>jak</w:t>
      </w:r>
      <w:r w:rsidR="00F56649" w:rsidRPr="002976F1">
        <w:t>ą</w:t>
      </w:r>
      <w:r w:rsidR="00996786" w:rsidRPr="002976F1">
        <w:t xml:space="preserve"> jest </w:t>
      </w:r>
      <w:r w:rsidRPr="002976F1">
        <w:t>p</w:t>
      </w:r>
      <w:r w:rsidR="00996786" w:rsidRPr="002976F1">
        <w:t>rodukcji karmy mokrej dla zwierząt towarzyszących typu pies i kot</w:t>
      </w:r>
      <w:r w:rsidR="00274BD3" w:rsidRPr="002976F1">
        <w:t>. Powyższy dokument</w:t>
      </w:r>
      <w:r w:rsidR="00274BD3" w:rsidRPr="00000693">
        <w:t xml:space="preserve"> odnosi się do następujących działalności: </w:t>
      </w:r>
    </w:p>
    <w:p w:rsidR="00643106" w:rsidRPr="00000693" w:rsidRDefault="00643106" w:rsidP="00643106">
      <w:pPr>
        <w:pStyle w:val="ListParagraph"/>
      </w:pPr>
    </w:p>
    <w:tbl>
      <w:tblPr>
        <w:tblStyle w:val="TableGrid0"/>
        <w:tblW w:w="8793" w:type="dxa"/>
        <w:tblInd w:w="1104" w:type="dxa"/>
        <w:tblCellMar>
          <w:top w:w="34" w:type="dxa"/>
          <w:left w:w="31" w:type="dxa"/>
        </w:tblCellMar>
        <w:tblLook w:val="04A0" w:firstRow="1" w:lastRow="0" w:firstColumn="1" w:lastColumn="0" w:noHBand="0" w:noVBand="1"/>
      </w:tblPr>
      <w:tblGrid>
        <w:gridCol w:w="7374"/>
        <w:gridCol w:w="1419"/>
      </w:tblGrid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</w:pPr>
            <w:r w:rsidRPr="00000693">
              <w:rPr>
                <w:rFonts w:ascii="Times New Roman" w:eastAsia="Times New Roman" w:hAnsi="Times New Roman" w:cs="Times New Roman"/>
                <w:b/>
                <w:sz w:val="18"/>
              </w:rPr>
              <w:t xml:space="preserve">Dokument referencyjny na temat Najlepszych Dostępnych Technik dla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4D050A" w:rsidP="00C5752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</w:t>
            </w:r>
            <w:r w:rsidR="00274BD3" w:rsidRPr="00000693">
              <w:rPr>
                <w:rFonts w:ascii="Times New Roman" w:eastAsia="Times New Roman" w:hAnsi="Times New Roman" w:cs="Times New Roman"/>
                <w:b/>
                <w:sz w:val="18"/>
              </w:rPr>
              <w:t xml:space="preserve">Kod Bref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4D050A" w:rsidP="00C5752A">
            <w:pPr>
              <w:spacing w:line="259" w:lineRule="auto"/>
            </w:pPr>
            <w:r>
              <w:rPr>
                <w:sz w:val="18"/>
              </w:rPr>
              <w:t xml:space="preserve">   </w:t>
            </w:r>
            <w:r w:rsidR="00274BD3" w:rsidRPr="00000693">
              <w:rPr>
                <w:sz w:val="18"/>
              </w:rPr>
              <w:t xml:space="preserve"> Intensywnej Hodowli Drobiu i Świń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ILF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4D050A" w:rsidP="00C5752A">
            <w:pPr>
              <w:spacing w:line="259" w:lineRule="auto"/>
            </w:pPr>
            <w:r>
              <w:rPr>
                <w:sz w:val="18"/>
              </w:rPr>
              <w:t xml:space="preserve">   </w:t>
            </w:r>
            <w:r w:rsidR="00274BD3" w:rsidRPr="00000693">
              <w:rPr>
                <w:sz w:val="18"/>
              </w:rPr>
              <w:t xml:space="preserve"> </w:t>
            </w:r>
            <w:r w:rsidR="00274BD3" w:rsidRPr="00000693">
              <w:rPr>
                <w:sz w:val="19"/>
              </w:rPr>
              <w:t>Ogólnych Zasad Monitoringu</w:t>
            </w:r>
            <w:r w:rsidR="00274BD3" w:rsidRPr="00000693">
              <w:rPr>
                <w:sz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180"/>
              <w:jc w:val="center"/>
            </w:pPr>
            <w:r w:rsidRPr="00000693">
              <w:rPr>
                <w:sz w:val="18"/>
              </w:rPr>
              <w:t xml:space="preserve">MON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Garbarstwa Skór i Skórek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TAN </w:t>
            </w:r>
          </w:p>
        </w:tc>
      </w:tr>
      <w:tr w:rsidR="00274BD3" w:rsidRPr="00000693" w:rsidTr="00C5752A">
        <w:trPr>
          <w:trHeight w:val="37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Szklarskiego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GLS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Celulozowo-papierniczego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PP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Produkcja Żelaza i Stali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I&amp;S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Cementowo-wapienniczego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CL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Przemysłowych Systemów Chłodzenia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CV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Chloro-alkalicznego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CAK </w:t>
            </w:r>
          </w:p>
        </w:tc>
      </w:tr>
      <w:tr w:rsidR="00274BD3" w:rsidRPr="00000693" w:rsidTr="00C5752A">
        <w:trPr>
          <w:trHeight w:val="37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Przetwórstwa Metali Żelaznych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FMP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Metali Nieżelaznych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NFM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Tekstylnego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TXT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Rafinerii Olejów Mineralnych i Gazu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REF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Wielkotonażowych Związków Organicznych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111"/>
              <w:jc w:val="center"/>
            </w:pPr>
            <w:r w:rsidRPr="00000693">
              <w:rPr>
                <w:sz w:val="18"/>
              </w:rPr>
              <w:t xml:space="preserve">LVOC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16"/>
              <w:jc w:val="center"/>
            </w:pPr>
            <w:r w:rsidRPr="00000693">
              <w:rPr>
                <w:sz w:val="18"/>
              </w:rPr>
              <w:t xml:space="preserve">Systemów Utylizacji / Zarządzania Wodami i Gazami Odpadowymi w Sektorze Chemicznym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141"/>
              <w:jc w:val="center"/>
            </w:pPr>
            <w:r w:rsidRPr="00000693">
              <w:rPr>
                <w:sz w:val="18"/>
              </w:rPr>
              <w:t xml:space="preserve">CWW </w:t>
            </w:r>
          </w:p>
        </w:tc>
      </w:tr>
      <w:tr w:rsidR="00274BD3" w:rsidRPr="00000693" w:rsidTr="00C5752A">
        <w:trPr>
          <w:trHeight w:val="37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Spożywczego, Produkcji Napojów i Mleka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FDM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Kuźni i Odlewni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SF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Emisji z Magazynowania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ESB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>Apektów Ekonomicznych i Oddziaływania Między Komponentami Środowiska</w:t>
            </w:r>
            <w:r w:rsidRPr="00000693"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169"/>
              <w:jc w:val="center"/>
            </w:pPr>
            <w:r w:rsidRPr="00000693">
              <w:rPr>
                <w:sz w:val="20"/>
              </w:rPr>
              <w:t xml:space="preserve">ECM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Przetwarzania OdpadówDużych Obiektów Energetycznego Spalania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LCP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rFonts w:ascii="Times New Roman" w:eastAsia="Times New Roman" w:hAnsi="Times New Roman" w:cs="Times New Roman"/>
                <w:i/>
                <w:sz w:val="18"/>
              </w:rPr>
              <w:t xml:space="preserve">Rzeźni i Przetwórstwa Produktów Ubocznych Pochodzenia Zwierzęcego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SA </w:t>
            </w:r>
          </w:p>
        </w:tc>
      </w:tr>
      <w:tr w:rsidR="00274BD3" w:rsidRPr="00000693" w:rsidTr="00C5752A">
        <w:trPr>
          <w:trHeight w:val="37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Gospodarki Odpadami Przeróbczymi i Skałą Płonną Rud w Górnictwie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44"/>
              <w:jc w:val="center"/>
            </w:pPr>
            <w:r w:rsidRPr="00000693">
              <w:rPr>
                <w:sz w:val="18"/>
              </w:rPr>
              <w:t xml:space="preserve">MTWR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Obróbki powierzchniowej Metali i Tworzyw Sztucznych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STM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Przetwarzania Odpadów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WT </w:t>
            </w:r>
          </w:p>
        </w:tc>
      </w:tr>
      <w:tr w:rsidR="00274BD3" w:rsidRPr="00000693" w:rsidTr="00C5752A">
        <w:trPr>
          <w:trHeight w:val="504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31"/>
              <w:jc w:val="right"/>
            </w:pPr>
            <w:r w:rsidRPr="00000693">
              <w:rPr>
                <w:sz w:val="18"/>
              </w:rPr>
              <w:t xml:space="preserve">Przemysłu Wielkotonażowych Związków Nieorganicznych - Amoniaku, Kwasów i Nawozów </w:t>
            </w:r>
          </w:p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Sztucznych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LVIC-AAF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Spalania Odpadów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WI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Produkcji Polimerów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POL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Technik Efektywnego Wykorzystania Energii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ENE </w:t>
            </w:r>
          </w:p>
        </w:tc>
      </w:tr>
      <w:tr w:rsidR="00274BD3" w:rsidRPr="00000693" w:rsidTr="00C5752A">
        <w:trPr>
          <w:trHeight w:val="372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Produkcji Związków Organicznych Głęboko Przetworzonych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OFC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Produkcji Związków Nieorganicznych Specjalnego Przeznaczenia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SIC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Obróbki Powierzchniowej z Użyciem Rozpuszczalników Organicznych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STS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Wielkotonażowych Związków Nieorganicznych - Substancji Stałych i Innych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right="20"/>
              <w:jc w:val="center"/>
            </w:pPr>
            <w:r w:rsidRPr="00000693">
              <w:rPr>
                <w:sz w:val="18"/>
              </w:rPr>
              <w:t xml:space="preserve">LVIC-S </w:t>
            </w:r>
          </w:p>
        </w:tc>
      </w:tr>
      <w:tr w:rsidR="00274BD3" w:rsidRPr="00000693" w:rsidTr="00C5752A">
        <w:trPr>
          <w:trHeight w:val="370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283"/>
            </w:pPr>
            <w:r w:rsidRPr="00000693">
              <w:rPr>
                <w:sz w:val="18"/>
              </w:rPr>
              <w:t xml:space="preserve">Przemysłu Ceramicznego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BD3" w:rsidRPr="00000693" w:rsidRDefault="00274BD3" w:rsidP="00C5752A">
            <w:pPr>
              <w:spacing w:line="259" w:lineRule="auto"/>
              <w:ind w:left="394"/>
            </w:pPr>
            <w:r w:rsidRPr="00000693">
              <w:rPr>
                <w:sz w:val="18"/>
              </w:rPr>
              <w:t xml:space="preserve">CER </w:t>
            </w:r>
          </w:p>
        </w:tc>
      </w:tr>
    </w:tbl>
    <w:p w:rsidR="00274BD3" w:rsidRPr="00000693" w:rsidRDefault="00274BD3" w:rsidP="00274BD3">
      <w:pPr>
        <w:pStyle w:val="ListParagraph"/>
      </w:pPr>
    </w:p>
    <w:p w:rsidR="00D33CB2" w:rsidRPr="002976F1" w:rsidRDefault="00274BD3" w:rsidP="008E3F03">
      <w:pPr>
        <w:ind w:left="-5" w:right="49"/>
        <w:jc w:val="both"/>
        <w:rPr>
          <w:rFonts w:eastAsia="Times New Roman" w:cstheme="minorHAnsi"/>
          <w:b/>
          <w:bCs/>
          <w:i/>
        </w:rPr>
      </w:pPr>
      <w:r w:rsidRPr="00000693">
        <w:rPr>
          <w:rFonts w:cstheme="minorHAnsi"/>
        </w:rPr>
        <w:t xml:space="preserve">Dodatkowo </w:t>
      </w:r>
      <w:r w:rsidRPr="00000693">
        <w:rPr>
          <w:rFonts w:cstheme="minorHAnsi"/>
          <w:b/>
          <w:bCs/>
        </w:rPr>
        <w:t xml:space="preserve">dokument </w:t>
      </w:r>
      <w:r w:rsidR="00F51ED6" w:rsidRPr="00000693">
        <w:rPr>
          <w:rFonts w:cstheme="minorHAnsi"/>
          <w:b/>
          <w:bCs/>
        </w:rPr>
        <w:t xml:space="preserve">ten </w:t>
      </w:r>
      <w:r w:rsidRPr="00000693">
        <w:rPr>
          <w:rFonts w:cstheme="minorHAnsi"/>
          <w:b/>
          <w:bCs/>
        </w:rPr>
        <w:t>odnosi się do działalności</w:t>
      </w:r>
      <w:r w:rsidR="00F51ED6" w:rsidRPr="00000693">
        <w:rPr>
          <w:rFonts w:cstheme="minorHAnsi"/>
          <w:b/>
          <w:bCs/>
        </w:rPr>
        <w:t xml:space="preserve">, które regulowane są </w:t>
      </w:r>
      <w:r w:rsidRPr="00000693">
        <w:rPr>
          <w:rFonts w:eastAsia="Times New Roman" w:cstheme="minorHAnsi"/>
          <w:b/>
          <w:bCs/>
          <w:i/>
        </w:rPr>
        <w:t>Rozporządzenie</w:t>
      </w:r>
      <w:r w:rsidR="00F51ED6" w:rsidRPr="00000693">
        <w:rPr>
          <w:rFonts w:eastAsia="Times New Roman" w:cstheme="minorHAnsi"/>
          <w:b/>
          <w:bCs/>
          <w:i/>
        </w:rPr>
        <w:t>m</w:t>
      </w:r>
      <w:r w:rsidRPr="00000693">
        <w:rPr>
          <w:rFonts w:eastAsia="Times New Roman" w:cstheme="minorHAnsi"/>
          <w:b/>
          <w:bCs/>
          <w:i/>
        </w:rPr>
        <w:t xml:space="preserve"> (EC) nr 1774/2002 Parlamentu Europejskiego i Rady z dnia 3 października 2002 r</w:t>
      </w:r>
      <w:r w:rsidRPr="00000693">
        <w:rPr>
          <w:rFonts w:eastAsia="Times New Roman" w:cstheme="minorHAnsi"/>
          <w:i/>
        </w:rPr>
        <w:t xml:space="preserve">. </w:t>
      </w:r>
      <w:r w:rsidRPr="00000693">
        <w:rPr>
          <w:rFonts w:cstheme="minorHAnsi"/>
        </w:rPr>
        <w:t>ustanawiające przepisy sanitarne dotyczące produktów ubocznych pochodzenia zwierzęcego nieprzeznaczonych do spożycia przez ludzi.</w:t>
      </w:r>
      <w:r w:rsidR="00F51ED6" w:rsidRPr="00000693">
        <w:rPr>
          <w:rFonts w:cstheme="minorHAnsi"/>
        </w:rPr>
        <w:t xml:space="preserve"> </w:t>
      </w:r>
      <w:r w:rsidR="00F51ED6" w:rsidRPr="00000693">
        <w:rPr>
          <w:rFonts w:cstheme="minorHAnsi"/>
          <w:b/>
          <w:bCs/>
        </w:rPr>
        <w:t>Zaś p</w:t>
      </w:r>
      <w:r w:rsidR="00E428CF" w:rsidRPr="00000693">
        <w:rPr>
          <w:rFonts w:eastAsia="Times New Roman" w:cstheme="minorHAnsi"/>
          <w:b/>
          <w:bCs/>
          <w:iCs/>
        </w:rPr>
        <w:t xml:space="preserve">lanowany proces produkcji będzie zatwierdzany zgodnie z </w:t>
      </w:r>
      <w:r w:rsidR="00E428CF" w:rsidRPr="00000693">
        <w:rPr>
          <w:rFonts w:eastAsia="Times New Roman" w:cstheme="minorHAnsi"/>
          <w:b/>
          <w:bCs/>
          <w:i/>
        </w:rPr>
        <w:t xml:space="preserve">Rozporządzenie (EC) Nr. 183/2005 Parlamentu Europejskiego i </w:t>
      </w:r>
      <w:r w:rsidR="002976F1">
        <w:rPr>
          <w:rFonts w:eastAsia="Times New Roman" w:cstheme="minorHAnsi"/>
          <w:b/>
          <w:bCs/>
          <w:i/>
        </w:rPr>
        <w:t>R</w:t>
      </w:r>
      <w:r w:rsidR="00E428CF" w:rsidRPr="00000693">
        <w:rPr>
          <w:rFonts w:eastAsia="Times New Roman" w:cstheme="minorHAnsi"/>
          <w:b/>
          <w:bCs/>
          <w:i/>
        </w:rPr>
        <w:t>ady z dnia 12 stycznia 2005 uzasadniające wymagania w dotyczące higieny pasz</w:t>
      </w:r>
      <w:r w:rsidR="00E428CF" w:rsidRPr="002976F1">
        <w:rPr>
          <w:rFonts w:cstheme="minorHAnsi"/>
          <w:b/>
          <w:bCs/>
        </w:rPr>
        <w:t>.</w:t>
      </w:r>
      <w:r w:rsidR="00F56649" w:rsidRPr="002976F1">
        <w:rPr>
          <w:rFonts w:cstheme="minorHAnsi"/>
          <w:b/>
          <w:bCs/>
        </w:rPr>
        <w:t xml:space="preserve"> Co jednoznacznie wskazuje, iż planowana działalność nie zawiera się w ramach w/w dokumentu.</w:t>
      </w:r>
      <w:r w:rsidR="00F56649" w:rsidRPr="002976F1">
        <w:rPr>
          <w:rFonts w:eastAsia="Times New Roman" w:cstheme="minorHAnsi"/>
          <w:b/>
          <w:bCs/>
          <w:i/>
        </w:rPr>
        <w:t xml:space="preserve"> </w:t>
      </w:r>
    </w:p>
    <w:p w:rsidR="004B5153" w:rsidRPr="00000693" w:rsidRDefault="004B5153" w:rsidP="008E3F03">
      <w:pPr>
        <w:pStyle w:val="ListParagraph"/>
        <w:numPr>
          <w:ilvl w:val="0"/>
          <w:numId w:val="1"/>
        </w:numPr>
        <w:ind w:right="49"/>
        <w:jc w:val="both"/>
      </w:pPr>
      <w:r w:rsidRPr="00000693">
        <w:rPr>
          <w:rFonts w:eastAsia="Times New Roman" w:cstheme="minorHAnsi"/>
          <w:b/>
          <w:bCs/>
          <w:iCs/>
        </w:rPr>
        <w:t xml:space="preserve">Ścieki – </w:t>
      </w:r>
      <w:r w:rsidRPr="00000693">
        <w:t xml:space="preserve">w złożonym w Urzędzie </w:t>
      </w:r>
      <w:r w:rsidR="00F94ACA" w:rsidRPr="00000693">
        <w:t>Gmin</w:t>
      </w:r>
      <w:r w:rsidRPr="00000693">
        <w:t>y dokumencie</w:t>
      </w:r>
      <w:r w:rsidRPr="00000693">
        <w:rPr>
          <w:rFonts w:eastAsia="Times New Roman" w:cstheme="minorHAnsi"/>
          <w:b/>
          <w:bCs/>
          <w:iCs/>
        </w:rPr>
        <w:t xml:space="preserve"> </w:t>
      </w:r>
      <w:r w:rsidRPr="00000693">
        <w:t>przedstawione zostały maksymalne obciążenia</w:t>
      </w:r>
      <w:r w:rsidR="008E3F03">
        <w:t>,</w:t>
      </w:r>
      <w:r w:rsidRPr="00000693">
        <w:t xml:space="preserve"> jakie będę kierowane do </w:t>
      </w:r>
      <w:r w:rsidR="00F94ACA" w:rsidRPr="00000693">
        <w:t>Gmin</w:t>
      </w:r>
      <w:r w:rsidRPr="00000693">
        <w:t>nej oczyszczalni ścieków z tytułu planowanej działalności produkcyjnej</w:t>
      </w:r>
      <w:r w:rsidRPr="00000693">
        <w:rPr>
          <w:rFonts w:eastAsia="Times New Roman" w:cstheme="minorHAnsi"/>
          <w:b/>
          <w:bCs/>
          <w:iCs/>
        </w:rPr>
        <w:t xml:space="preserve"> .</w:t>
      </w:r>
      <w:r w:rsidRPr="00000693">
        <w:t xml:space="preserve"> Rodzaj i ich maksymalne stężenie zostało opracowane na bazie analizy zastosowanych rozwiązań techniczno- technologicznych oraz samej technologii produkcji.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B5153" w:rsidRPr="00000693" w:rsidTr="009A304C">
        <w:tc>
          <w:tcPr>
            <w:tcW w:w="562" w:type="dxa"/>
          </w:tcPr>
          <w:p w:rsidR="004B5153" w:rsidRPr="00000693" w:rsidRDefault="004B5153" w:rsidP="009A304C">
            <w:r w:rsidRPr="00000693">
              <w:t>Lp.</w:t>
            </w:r>
          </w:p>
        </w:tc>
        <w:tc>
          <w:tcPr>
            <w:tcW w:w="3968" w:type="dxa"/>
          </w:tcPr>
          <w:p w:rsidR="004B5153" w:rsidRPr="00000693" w:rsidRDefault="004B5153" w:rsidP="009A304C">
            <w:pPr>
              <w:jc w:val="center"/>
            </w:pPr>
            <w:r w:rsidRPr="00000693">
              <w:t>Wskaźnik zanieczyszczenia</w:t>
            </w:r>
          </w:p>
        </w:tc>
        <w:tc>
          <w:tcPr>
            <w:tcW w:w="2266" w:type="dxa"/>
          </w:tcPr>
          <w:p w:rsidR="004B5153" w:rsidRPr="00000693" w:rsidRDefault="004B5153" w:rsidP="009A304C">
            <w:r w:rsidRPr="00000693">
              <w:t xml:space="preserve">Jednostka </w:t>
            </w:r>
          </w:p>
        </w:tc>
        <w:tc>
          <w:tcPr>
            <w:tcW w:w="2266" w:type="dxa"/>
          </w:tcPr>
          <w:p w:rsidR="004B5153" w:rsidRPr="00000693" w:rsidRDefault="004B5153" w:rsidP="009A304C">
            <w:r w:rsidRPr="00000693">
              <w:t xml:space="preserve">Wartość maksymalna </w:t>
            </w:r>
          </w:p>
        </w:tc>
      </w:tr>
      <w:tr w:rsidR="004B5153" w:rsidRPr="00000693" w:rsidTr="009A304C">
        <w:tc>
          <w:tcPr>
            <w:tcW w:w="562" w:type="dxa"/>
          </w:tcPr>
          <w:p w:rsidR="004B5153" w:rsidRPr="00000693" w:rsidRDefault="004B5153" w:rsidP="009A304C">
            <w:r w:rsidRPr="00000693">
              <w:t>1</w:t>
            </w:r>
          </w:p>
        </w:tc>
        <w:tc>
          <w:tcPr>
            <w:tcW w:w="3968" w:type="dxa"/>
          </w:tcPr>
          <w:p w:rsidR="004B5153" w:rsidRPr="00000693" w:rsidRDefault="004B5153" w:rsidP="009A304C">
            <w:r w:rsidRPr="00000693">
              <w:t xml:space="preserve">Odczyn </w:t>
            </w:r>
            <w:r w:rsidR="008E3F03" w:rsidRPr="00000693">
              <w:t>Ph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-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9,5</w:t>
            </w:r>
          </w:p>
        </w:tc>
      </w:tr>
      <w:tr w:rsidR="004B5153" w:rsidRPr="00000693" w:rsidTr="009A304C">
        <w:tc>
          <w:tcPr>
            <w:tcW w:w="562" w:type="dxa"/>
          </w:tcPr>
          <w:p w:rsidR="004B5153" w:rsidRPr="00000693" w:rsidRDefault="004B5153" w:rsidP="009A304C">
            <w:r w:rsidRPr="00000693">
              <w:t>2</w:t>
            </w:r>
          </w:p>
        </w:tc>
        <w:tc>
          <w:tcPr>
            <w:tcW w:w="3968" w:type="dxa"/>
          </w:tcPr>
          <w:p w:rsidR="004B5153" w:rsidRPr="00000693" w:rsidRDefault="004B5153" w:rsidP="009A304C">
            <w:pPr>
              <w:rPr>
                <w:vertAlign w:val="subscript"/>
              </w:rPr>
            </w:pPr>
            <w:r w:rsidRPr="00000693">
              <w:t>BZT</w:t>
            </w:r>
            <w:r w:rsidRPr="00000693">
              <w:rPr>
                <w:vertAlign w:val="subscript"/>
              </w:rPr>
              <w:t>5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mg0</w:t>
            </w:r>
            <w:r w:rsidRPr="00000693">
              <w:rPr>
                <w:vertAlign w:val="subscript"/>
              </w:rPr>
              <w:t>2</w:t>
            </w:r>
            <w:r w:rsidRPr="00000693">
              <w:t>/l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500</w:t>
            </w:r>
          </w:p>
        </w:tc>
      </w:tr>
      <w:tr w:rsidR="004B5153" w:rsidRPr="00000693" w:rsidTr="009A304C">
        <w:tc>
          <w:tcPr>
            <w:tcW w:w="562" w:type="dxa"/>
          </w:tcPr>
          <w:p w:rsidR="004B5153" w:rsidRPr="00000693" w:rsidRDefault="004B5153" w:rsidP="009A304C">
            <w:r w:rsidRPr="00000693">
              <w:t>3</w:t>
            </w:r>
          </w:p>
        </w:tc>
        <w:tc>
          <w:tcPr>
            <w:tcW w:w="3968" w:type="dxa"/>
          </w:tcPr>
          <w:p w:rsidR="004B5153" w:rsidRPr="00000693" w:rsidRDefault="004B5153" w:rsidP="009A304C">
            <w:r w:rsidRPr="00000693">
              <w:t>ChZT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mg0</w:t>
            </w:r>
            <w:r w:rsidRPr="00000693">
              <w:rPr>
                <w:vertAlign w:val="subscript"/>
              </w:rPr>
              <w:t>2</w:t>
            </w:r>
            <w:r w:rsidRPr="00000693">
              <w:t>/l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1000</w:t>
            </w:r>
          </w:p>
        </w:tc>
      </w:tr>
      <w:tr w:rsidR="004B5153" w:rsidRPr="00000693" w:rsidTr="009A304C">
        <w:tc>
          <w:tcPr>
            <w:tcW w:w="562" w:type="dxa"/>
          </w:tcPr>
          <w:p w:rsidR="004B5153" w:rsidRPr="00000693" w:rsidRDefault="004B5153" w:rsidP="009A304C">
            <w:r w:rsidRPr="00000693">
              <w:t>4</w:t>
            </w:r>
          </w:p>
        </w:tc>
        <w:tc>
          <w:tcPr>
            <w:tcW w:w="3968" w:type="dxa"/>
          </w:tcPr>
          <w:p w:rsidR="004B5153" w:rsidRPr="00000693" w:rsidRDefault="004B5153" w:rsidP="009A304C">
            <w:r w:rsidRPr="00000693">
              <w:t>Fosfor ogólny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mgP/l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15</w:t>
            </w:r>
          </w:p>
        </w:tc>
      </w:tr>
      <w:tr w:rsidR="004B5153" w:rsidRPr="00000693" w:rsidTr="009A304C">
        <w:tc>
          <w:tcPr>
            <w:tcW w:w="562" w:type="dxa"/>
          </w:tcPr>
          <w:p w:rsidR="004B5153" w:rsidRPr="00000693" w:rsidRDefault="004B5153" w:rsidP="009A304C">
            <w:r w:rsidRPr="00000693">
              <w:t>5</w:t>
            </w:r>
          </w:p>
        </w:tc>
        <w:tc>
          <w:tcPr>
            <w:tcW w:w="3968" w:type="dxa"/>
          </w:tcPr>
          <w:p w:rsidR="004B5153" w:rsidRPr="00000693" w:rsidRDefault="004B5153" w:rsidP="009A304C">
            <w:r w:rsidRPr="00000693">
              <w:t>Azot ogółem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mgN/l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100</w:t>
            </w:r>
          </w:p>
        </w:tc>
      </w:tr>
      <w:tr w:rsidR="004B5153" w:rsidRPr="00000693" w:rsidTr="009A304C">
        <w:tc>
          <w:tcPr>
            <w:tcW w:w="562" w:type="dxa"/>
          </w:tcPr>
          <w:p w:rsidR="004B5153" w:rsidRPr="00000693" w:rsidRDefault="004B5153" w:rsidP="009A304C">
            <w:r w:rsidRPr="00000693">
              <w:t>6</w:t>
            </w:r>
          </w:p>
        </w:tc>
        <w:tc>
          <w:tcPr>
            <w:tcW w:w="3968" w:type="dxa"/>
          </w:tcPr>
          <w:p w:rsidR="004B5153" w:rsidRPr="00000693" w:rsidRDefault="004B5153" w:rsidP="009A304C">
            <w:r w:rsidRPr="00000693">
              <w:t xml:space="preserve">Substancję ekstrahujące się eterem naftowym 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mg/l</w:t>
            </w:r>
          </w:p>
        </w:tc>
        <w:tc>
          <w:tcPr>
            <w:tcW w:w="2266" w:type="dxa"/>
          </w:tcPr>
          <w:p w:rsidR="004B5153" w:rsidRPr="00000693" w:rsidRDefault="004B5153" w:rsidP="009A304C">
            <w:pPr>
              <w:jc w:val="center"/>
            </w:pPr>
            <w:r w:rsidRPr="00000693">
              <w:t>100</w:t>
            </w:r>
          </w:p>
        </w:tc>
      </w:tr>
    </w:tbl>
    <w:p w:rsidR="004B5153" w:rsidRPr="00000693" w:rsidRDefault="004B5153" w:rsidP="004B5153">
      <w:pPr>
        <w:pStyle w:val="ListParagraph"/>
      </w:pPr>
    </w:p>
    <w:p w:rsidR="004B5153" w:rsidRDefault="004B5153" w:rsidP="008E3F03">
      <w:pPr>
        <w:jc w:val="both"/>
      </w:pPr>
      <w:r w:rsidRPr="008E3F03">
        <w:rPr>
          <w:b/>
          <w:bCs/>
        </w:rPr>
        <w:t>Jak widać w powyższej tabeli nie są to „wysokoorganiczne stężone płyny</w:t>
      </w:r>
      <w:r w:rsidRPr="00000693">
        <w:t>”, ale ścieki o stosunkowo niskim poziomie ładunków.</w:t>
      </w:r>
    </w:p>
    <w:p w:rsidR="00643106" w:rsidRDefault="00643106" w:rsidP="004B5153">
      <w:pPr>
        <w:pStyle w:val="ListParagraph"/>
      </w:pPr>
    </w:p>
    <w:p w:rsidR="00884033" w:rsidRDefault="00884033" w:rsidP="004B5153">
      <w:pPr>
        <w:pStyle w:val="ListParagraph"/>
      </w:pPr>
    </w:p>
    <w:p w:rsidR="00C8757C" w:rsidRDefault="00884033" w:rsidP="004B5153">
      <w:pPr>
        <w:pStyle w:val="ListParagraph"/>
      </w:pPr>
      <w:r w:rsidRPr="00643106">
        <w:rPr>
          <w:noProof/>
          <w:color w:val="FFFF6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E7286" wp14:editId="480D14D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372100" cy="565150"/>
                <wp:effectExtent l="0" t="0" r="1905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6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4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5E9AE" id="Prostokąt 1" o:spid="_x0000_s1026" style="position:absolute;margin-left:371.8pt;margin-top:10.2pt;width:423pt;height:4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" fillcolor="#8eaadb [1940]" strokecolor="black [3213]" strokeweight="1pt">
                <v:fill opacity="15677f"/>
                <w10:wrap anchorx="margin"/>
              </v:rect>
            </w:pict>
          </mc:Fallback>
        </mc:AlternateContent>
      </w:r>
    </w:p>
    <w:p w:rsidR="00884033" w:rsidRPr="00643106" w:rsidRDefault="00884033" w:rsidP="00884033">
      <w:pPr>
        <w:pStyle w:val="ListParagraph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643106">
        <w:rPr>
          <w:b/>
          <w:bCs/>
          <w:i/>
          <w:iCs/>
          <w:color w:val="000000" w:themeColor="text1"/>
          <w:sz w:val="24"/>
          <w:szCs w:val="24"/>
        </w:rPr>
        <w:t>Głównym źródłem powstawania ścieków w zakładzie będzie proces mycia zakładu, utracona para z procesu sterylizacji puszek oraz woda z mycia puszek.</w:t>
      </w:r>
    </w:p>
    <w:p w:rsidR="00884033" w:rsidRDefault="00884033" w:rsidP="004B5153">
      <w:pPr>
        <w:pStyle w:val="ListParagraph"/>
      </w:pPr>
    </w:p>
    <w:p w:rsidR="00081F06" w:rsidRDefault="00081F06" w:rsidP="004B5153">
      <w:pPr>
        <w:pStyle w:val="ListParagraph"/>
      </w:pPr>
    </w:p>
    <w:p w:rsidR="0034022C" w:rsidRPr="00000693" w:rsidRDefault="00F0349D" w:rsidP="008E3F03">
      <w:pPr>
        <w:pStyle w:val="ListParagraph"/>
        <w:ind w:firstLine="696"/>
        <w:jc w:val="both"/>
        <w:rPr>
          <w:b/>
          <w:bCs/>
        </w:rPr>
      </w:pPr>
      <w:r w:rsidRPr="00000693">
        <w:t>W zakładzie nie będą płukane czy myte surowce mięsne ani inne procesy</w:t>
      </w:r>
      <w:r w:rsidR="008E3F03">
        <w:t>,</w:t>
      </w:r>
      <w:r w:rsidRPr="00000693">
        <w:t xml:space="preserve"> które </w:t>
      </w:r>
      <w:r w:rsidR="00F94ACA" w:rsidRPr="00000693">
        <w:t>mogłyby</w:t>
      </w:r>
      <w:r w:rsidRPr="00000693">
        <w:t xml:space="preserve"> powodować, że ściek będzie posiadał wysoki ładunek białkowy. </w:t>
      </w:r>
      <w:r w:rsidR="0034022C" w:rsidRPr="00000693">
        <w:t xml:space="preserve">Ponad to ze względu na rodzaj oraz wymagania mikrobiologiczne wobec surowca, </w:t>
      </w:r>
      <w:r w:rsidR="0034022C" w:rsidRPr="00000693">
        <w:rPr>
          <w:b/>
          <w:bCs/>
        </w:rPr>
        <w:t xml:space="preserve">proces produkcyjny nie niesie ze sobą żadnego ryzyka w zakresie E coli. </w:t>
      </w:r>
    </w:p>
    <w:p w:rsidR="00F94ACA" w:rsidRPr="00000693" w:rsidRDefault="00F94ACA" w:rsidP="004B5153">
      <w:pPr>
        <w:pStyle w:val="ListParagraph"/>
        <w:rPr>
          <w:b/>
          <w:bCs/>
        </w:rPr>
      </w:pPr>
    </w:p>
    <w:p w:rsidR="00F94ACA" w:rsidRPr="00000693" w:rsidRDefault="00F94ACA" w:rsidP="008E3F03">
      <w:pPr>
        <w:pStyle w:val="ListParagraph"/>
        <w:ind w:firstLine="696"/>
        <w:jc w:val="both"/>
      </w:pPr>
      <w:r w:rsidRPr="00000693">
        <w:t>Obecnie firma Panattoni wraz z Petrepublic i władzami Gminy Niemce dyskutują o wyborze najlepszego rozwiązania, które zapewni, iż istniejąca oczyszczalnia ścieków nie zostanie nadmiernie obciążona w związku z rozwojem parku przemysłowego. Zapewniamy Państwa, iż zostaną dokonane niezbędne inwestycje w infrastrukturę gospodarki ściekami, które nie tylko zapewnią bezpieczeństwo dla Gminy</w:t>
      </w:r>
      <w:r w:rsidR="008E3F03">
        <w:t>,</w:t>
      </w:r>
      <w:r w:rsidRPr="00000693">
        <w:t xml:space="preserve"> ale również w dłuższej perspektywie przyczynią się do obniżenia kosztów odbioru ścieków z terenu Gminy Niemce.</w:t>
      </w:r>
    </w:p>
    <w:p w:rsidR="0034022C" w:rsidRPr="00000693" w:rsidRDefault="0034022C" w:rsidP="008E3F03">
      <w:pPr>
        <w:pStyle w:val="ListParagraph"/>
        <w:jc w:val="both"/>
        <w:rPr>
          <w:b/>
          <w:bCs/>
        </w:rPr>
      </w:pPr>
    </w:p>
    <w:p w:rsidR="00F56649" w:rsidRDefault="00D33CB2" w:rsidP="008E3F03">
      <w:pPr>
        <w:pStyle w:val="ListParagraph"/>
        <w:numPr>
          <w:ilvl w:val="0"/>
          <w:numId w:val="1"/>
        </w:numPr>
        <w:ind w:right="49"/>
        <w:jc w:val="both"/>
        <w:rPr>
          <w:rFonts w:ascii="Calibri" w:eastAsia="Times New Roman" w:hAnsi="Calibri" w:cs="Calibri"/>
        </w:rPr>
      </w:pPr>
      <w:r w:rsidRPr="00000693">
        <w:rPr>
          <w:rFonts w:eastAsia="Times New Roman" w:cstheme="minorHAnsi"/>
          <w:b/>
          <w:bCs/>
          <w:iCs/>
        </w:rPr>
        <w:t>Emisja zapachów oraz zagrożenia epid</w:t>
      </w:r>
      <w:r w:rsidR="006348FF" w:rsidRPr="00000693">
        <w:rPr>
          <w:rFonts w:eastAsia="Times New Roman" w:cstheme="minorHAnsi"/>
          <w:b/>
          <w:bCs/>
          <w:iCs/>
        </w:rPr>
        <w:t>emiologiczne</w:t>
      </w:r>
      <w:r w:rsidR="007D17D3" w:rsidRPr="00000693">
        <w:rPr>
          <w:rFonts w:eastAsia="Times New Roman" w:cstheme="minorHAnsi"/>
          <w:b/>
          <w:bCs/>
          <w:iCs/>
        </w:rPr>
        <w:t xml:space="preserve">. </w:t>
      </w:r>
      <w:r w:rsidR="007D17D3" w:rsidRPr="00000693">
        <w:rPr>
          <w:rFonts w:eastAsia="Times New Roman" w:cstheme="minorHAnsi"/>
          <w:iCs/>
        </w:rPr>
        <w:t xml:space="preserve">Zarówno wykorzystywane surowce jak i proces produkcyjny nie będzie emitował </w:t>
      </w:r>
      <w:r w:rsidR="00F0349D" w:rsidRPr="00000693">
        <w:rPr>
          <w:rFonts w:eastAsia="Times New Roman" w:cstheme="minorHAnsi"/>
          <w:iCs/>
        </w:rPr>
        <w:t xml:space="preserve">uciążliwości zapachowej </w:t>
      </w:r>
      <w:r w:rsidR="004B5153" w:rsidRPr="00000693">
        <w:rPr>
          <w:rFonts w:eastAsia="Times New Roman" w:cstheme="minorHAnsi"/>
          <w:iCs/>
        </w:rPr>
        <w:t>. Kilka faktów na potwierdzenie</w:t>
      </w:r>
      <w:r w:rsidR="00F0349D" w:rsidRPr="00000693">
        <w:rPr>
          <w:rFonts w:ascii="Calibri" w:eastAsia="Times New Roman" w:hAnsi="Calibri" w:cs="Calibri"/>
        </w:rPr>
        <w:t>:</w:t>
      </w:r>
    </w:p>
    <w:p w:rsidR="00081F06" w:rsidRPr="00000693" w:rsidRDefault="00081F06" w:rsidP="00081F06">
      <w:pPr>
        <w:pStyle w:val="ListParagraph"/>
        <w:ind w:right="49"/>
        <w:rPr>
          <w:rFonts w:ascii="Calibri" w:eastAsia="Times New Roman" w:hAnsi="Calibri" w:cs="Calibri"/>
        </w:rPr>
      </w:pPr>
    </w:p>
    <w:p w:rsidR="00F56649" w:rsidRDefault="00F56649" w:rsidP="008E3F03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eastAsia="Times New Roman" w:hAnsi="Calibri" w:cs="Calibri"/>
          <w:b/>
          <w:bCs/>
        </w:rPr>
      </w:pPr>
      <w:r w:rsidRPr="00000693">
        <w:rPr>
          <w:rFonts w:ascii="Calibri" w:eastAsia="Times New Roman" w:hAnsi="Calibri" w:cs="Calibri"/>
        </w:rPr>
        <w:t xml:space="preserve">Dostawy surowca będą realizowane codziennie w ściśle do tego </w:t>
      </w:r>
      <w:r w:rsidRPr="00000693">
        <w:rPr>
          <w:rFonts w:ascii="Calibri" w:eastAsia="Times New Roman" w:hAnsi="Calibri" w:cs="Calibri"/>
          <w:b/>
          <w:bCs/>
        </w:rPr>
        <w:t>przystosowanych autach z</w:t>
      </w:r>
      <w:r w:rsidRPr="00000693">
        <w:rPr>
          <w:rFonts w:ascii="Calibri" w:eastAsia="Times New Roman" w:hAnsi="Calibri" w:cs="Calibri"/>
        </w:rPr>
        <w:t xml:space="preserve"> </w:t>
      </w:r>
      <w:r w:rsidRPr="00000693">
        <w:rPr>
          <w:rFonts w:ascii="Calibri" w:eastAsia="Times New Roman" w:hAnsi="Calibri" w:cs="Calibri"/>
          <w:b/>
          <w:bCs/>
        </w:rPr>
        <w:t>zachowaniem reżimów sanitarno-higienicznych oraz temperaturowych</w:t>
      </w:r>
      <w:r w:rsidRPr="00000693">
        <w:rPr>
          <w:rFonts w:ascii="Calibri" w:eastAsia="Times New Roman" w:hAnsi="Calibri" w:cs="Calibri"/>
        </w:rPr>
        <w:t xml:space="preserve"> (zgodnie z obowiązującymi przepisami weterynaryjnymi), w ilościach odpowiadających dziennemu zapotrzebowaniu produkcyjnemu. Przyjęcie surowca odbywać się będzie przez </w:t>
      </w:r>
      <w:r w:rsidRPr="00000693">
        <w:rPr>
          <w:rFonts w:ascii="Calibri" w:eastAsia="Times New Roman" w:hAnsi="Calibri" w:cs="Calibri"/>
          <w:b/>
          <w:bCs/>
        </w:rPr>
        <w:t>rampy z</w:t>
      </w:r>
      <w:r w:rsidRPr="00000693">
        <w:rPr>
          <w:rFonts w:ascii="Calibri" w:eastAsia="Times New Roman" w:hAnsi="Calibri" w:cs="Calibri"/>
        </w:rPr>
        <w:t xml:space="preserve"> </w:t>
      </w:r>
      <w:r w:rsidRPr="00000693">
        <w:rPr>
          <w:rFonts w:ascii="Calibri" w:eastAsia="Times New Roman" w:hAnsi="Calibri" w:cs="Calibri"/>
          <w:b/>
          <w:bCs/>
        </w:rPr>
        <w:t>pneumatycznym uszczelnieniem</w:t>
      </w:r>
      <w:r w:rsidR="002976F1">
        <w:rPr>
          <w:rFonts w:ascii="Calibri" w:eastAsia="Times New Roman" w:hAnsi="Calibri" w:cs="Calibri"/>
        </w:rPr>
        <w:t xml:space="preserve">, </w:t>
      </w:r>
      <w:r w:rsidRPr="00000693">
        <w:rPr>
          <w:rFonts w:ascii="Calibri" w:eastAsia="Times New Roman" w:hAnsi="Calibri" w:cs="Calibri"/>
        </w:rPr>
        <w:t>na zasadzie</w:t>
      </w:r>
      <w:r w:rsidRPr="00000693">
        <w:rPr>
          <w:rFonts w:ascii="Calibri" w:eastAsia="Times New Roman" w:hAnsi="Calibri" w:cs="Calibri"/>
          <w:strike/>
        </w:rPr>
        <w:t xml:space="preserve"> </w:t>
      </w:r>
      <w:r w:rsidRPr="00000693">
        <w:rPr>
          <w:rFonts w:ascii="Calibri" w:eastAsia="Times New Roman" w:hAnsi="Calibri" w:cs="Calibri"/>
        </w:rPr>
        <w:t xml:space="preserve">rękawa. Na rampach przyjęcia surowca będzie </w:t>
      </w:r>
      <w:r w:rsidR="002976F1">
        <w:rPr>
          <w:rFonts w:ascii="Calibri" w:eastAsia="Times New Roman" w:hAnsi="Calibri" w:cs="Calibri"/>
        </w:rPr>
        <w:t xml:space="preserve">tzw. </w:t>
      </w:r>
      <w:r w:rsidRPr="00000693">
        <w:rPr>
          <w:rFonts w:ascii="Calibri" w:eastAsia="Times New Roman" w:hAnsi="Calibri" w:cs="Calibri"/>
        </w:rPr>
        <w:t xml:space="preserve">temperatura kontrolowana (8-12 C). Schłodzony lub mrożony surowiec (głównie </w:t>
      </w:r>
      <w:r w:rsidR="008E3F03">
        <w:rPr>
          <w:rFonts w:ascii="Calibri" w:eastAsia="Times New Roman" w:hAnsi="Calibri" w:cs="Calibri"/>
        </w:rPr>
        <w:t>porcj</w:t>
      </w:r>
      <w:r w:rsidR="0007460D" w:rsidRPr="00000693">
        <w:rPr>
          <w:rFonts w:ascii="Calibri" w:eastAsia="Times New Roman" w:hAnsi="Calibri" w:cs="Calibri"/>
        </w:rPr>
        <w:t>e rosołowe</w:t>
      </w:r>
      <w:r w:rsidRPr="00000693">
        <w:rPr>
          <w:rFonts w:ascii="Calibri" w:eastAsia="Times New Roman" w:hAnsi="Calibri" w:cs="Calibri"/>
        </w:rPr>
        <w:t xml:space="preserve">, skórki, </w:t>
      </w:r>
      <w:r w:rsidR="0007460D" w:rsidRPr="00000693">
        <w:rPr>
          <w:rFonts w:ascii="Calibri" w:eastAsia="Times New Roman" w:hAnsi="Calibri" w:cs="Calibri"/>
        </w:rPr>
        <w:t>wątróbka, serca i żołądki</w:t>
      </w:r>
      <w:r w:rsidRPr="00000693">
        <w:rPr>
          <w:rFonts w:ascii="Calibri" w:eastAsia="Times New Roman" w:hAnsi="Calibri" w:cs="Calibri"/>
        </w:rPr>
        <w:t xml:space="preserve">) tak jak i mięso np. całe tuszki przeznaczone do konsumpcji ludzkiej, </w:t>
      </w:r>
      <w:r w:rsidRPr="00000693">
        <w:rPr>
          <w:rFonts w:ascii="Calibri" w:eastAsia="Times New Roman" w:hAnsi="Calibri" w:cs="Calibri"/>
          <w:b/>
          <w:bCs/>
        </w:rPr>
        <w:t>nie wydzielają z zasady nieprzyjemnych zapachów.</w:t>
      </w:r>
    </w:p>
    <w:p w:rsidR="00081F06" w:rsidRPr="00081F06" w:rsidRDefault="00081F06" w:rsidP="00081F06">
      <w:pPr>
        <w:pStyle w:val="ListParagraph"/>
        <w:spacing w:after="0" w:line="240" w:lineRule="auto"/>
        <w:contextualSpacing w:val="0"/>
        <w:rPr>
          <w:rFonts w:ascii="Calibri" w:hAnsi="Calibri" w:cs="Calibri"/>
        </w:rPr>
      </w:pPr>
    </w:p>
    <w:p w:rsidR="00F56649" w:rsidRPr="00000693" w:rsidRDefault="00F56649" w:rsidP="008E3F03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000693">
        <w:rPr>
          <w:rFonts w:ascii="Calibri" w:eastAsia="Times New Roman" w:hAnsi="Calibri" w:cs="Calibri"/>
        </w:rPr>
        <w:t>Magazynowanie surowców jak i cały proces produkcyjny odbywać się będzie w ramach budowanego obiektu z zachowaniem reżimów sanitarnych i temperaturowych tj. Przechowywanie surowców w mroźni</w:t>
      </w:r>
      <w:r w:rsidR="004D050A">
        <w:rPr>
          <w:rFonts w:ascii="Calibri" w:eastAsia="Times New Roman" w:hAnsi="Calibri" w:cs="Calibri"/>
        </w:rPr>
        <w:t xml:space="preserve"> </w:t>
      </w:r>
      <w:r w:rsidRPr="00000693">
        <w:rPr>
          <w:rFonts w:ascii="Calibri" w:eastAsia="Times New Roman" w:hAnsi="Calibri" w:cs="Calibri"/>
        </w:rPr>
        <w:t>(-18C)i chłodni (0-4C);</w:t>
      </w:r>
      <w:r w:rsidR="004D050A">
        <w:rPr>
          <w:rFonts w:ascii="Calibri" w:eastAsia="Times New Roman" w:hAnsi="Calibri" w:cs="Calibri"/>
        </w:rPr>
        <w:t xml:space="preserve"> </w:t>
      </w:r>
      <w:r w:rsidRPr="00000693">
        <w:rPr>
          <w:rFonts w:ascii="Calibri" w:eastAsia="Times New Roman" w:hAnsi="Calibri" w:cs="Calibri"/>
        </w:rPr>
        <w:t xml:space="preserve">obróbka (rozdrobnienie / mieszanie) – (10-12C). Masa przygotowana z surowca mięsnego transportowana będzie automatycznie rurociągami, poddawana jest formowaniu i krótkotrwałej obróbce termicznej (2 minuty). </w:t>
      </w:r>
      <w:r w:rsidRPr="00000693">
        <w:rPr>
          <w:rFonts w:ascii="Calibri" w:eastAsia="Times New Roman" w:hAnsi="Calibri" w:cs="Calibri"/>
          <w:b/>
          <w:bCs/>
        </w:rPr>
        <w:t xml:space="preserve">Żaden z etapów nie będzie wykonany na zewnątrz obiektu. </w:t>
      </w:r>
    </w:p>
    <w:p w:rsidR="00F56649" w:rsidRPr="00000693" w:rsidRDefault="00F56649" w:rsidP="00F56649">
      <w:pPr>
        <w:rPr>
          <w:rFonts w:ascii="Calibri" w:hAnsi="Calibri" w:cs="Calibri"/>
        </w:rPr>
      </w:pPr>
    </w:p>
    <w:p w:rsidR="00F56649" w:rsidRPr="00000693" w:rsidRDefault="008E3F03" w:rsidP="008E3F0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Dodatkowo pragniemy zaznaczyć, </w:t>
      </w:r>
      <w:r w:rsidR="00F56649" w:rsidRPr="00000693">
        <w:rPr>
          <w:rFonts w:ascii="Calibri" w:hAnsi="Calibri" w:cs="Calibri"/>
        </w:rPr>
        <w:t xml:space="preserve">iż nasz produkt poddawany jest długotrwałej obróbce cieplnej </w:t>
      </w:r>
      <w:r w:rsidR="00F56649" w:rsidRPr="00000693">
        <w:rPr>
          <w:rFonts w:ascii="Calibri" w:hAnsi="Calibri" w:cs="Calibri"/>
          <w:b/>
          <w:bCs/>
        </w:rPr>
        <w:t>po zamknięciu go w opakowanie hermetyczne</w:t>
      </w:r>
      <w:r>
        <w:rPr>
          <w:rFonts w:ascii="Calibri" w:hAnsi="Calibri" w:cs="Calibri"/>
        </w:rPr>
        <w:t xml:space="preserve"> (puszka metalowa lub saszetka), </w:t>
      </w:r>
      <w:r w:rsidR="00F56649" w:rsidRPr="00000693">
        <w:rPr>
          <w:rFonts w:ascii="Calibri" w:hAnsi="Calibri" w:cs="Calibri"/>
        </w:rPr>
        <w:t>co wyklucza możliwości wydzielania się jakichkolwiek zapachów.</w:t>
      </w:r>
    </w:p>
    <w:p w:rsidR="00F56649" w:rsidRDefault="00F56649" w:rsidP="00F56649">
      <w:pPr>
        <w:rPr>
          <w:rFonts w:ascii="Calibri" w:hAnsi="Calibri" w:cs="Calibri"/>
        </w:rPr>
      </w:pPr>
    </w:p>
    <w:p w:rsidR="00643106" w:rsidRDefault="00643106" w:rsidP="00F56649">
      <w:pPr>
        <w:rPr>
          <w:rFonts w:ascii="Calibri" w:hAnsi="Calibri" w:cs="Calibri"/>
        </w:rPr>
      </w:pPr>
    </w:p>
    <w:p w:rsidR="00643106" w:rsidRDefault="00643106" w:rsidP="00F56649">
      <w:pPr>
        <w:rPr>
          <w:rFonts w:ascii="Calibri" w:hAnsi="Calibri" w:cs="Calibri"/>
        </w:rPr>
      </w:pPr>
    </w:p>
    <w:p w:rsidR="00882D2D" w:rsidRDefault="00882D2D" w:rsidP="00F56649">
      <w:pPr>
        <w:rPr>
          <w:rFonts w:ascii="Calibri" w:hAnsi="Calibri" w:cs="Calibri"/>
        </w:rPr>
      </w:pPr>
    </w:p>
    <w:p w:rsidR="00643106" w:rsidRPr="00000693" w:rsidRDefault="00643106" w:rsidP="00F56649">
      <w:pPr>
        <w:rPr>
          <w:rFonts w:ascii="Calibri" w:hAnsi="Calibri" w:cs="Calibri"/>
        </w:rPr>
      </w:pPr>
    </w:p>
    <w:p w:rsidR="00081F06" w:rsidRDefault="00C8757C" w:rsidP="00081F06">
      <w:pPr>
        <w:rPr>
          <w:rFonts w:ascii="Calibri" w:hAnsi="Calibri" w:cs="Calibri"/>
          <w:b/>
          <w:bCs/>
        </w:rPr>
      </w:pPr>
      <w:r w:rsidRPr="00C8757C">
        <w:rPr>
          <w:rFonts w:ascii="Calibri" w:hAnsi="Calibri" w:cs="Calibri"/>
          <w:b/>
          <w:bCs/>
        </w:rPr>
        <w:t>PODSUMOWANIE:</w:t>
      </w:r>
    </w:p>
    <w:p w:rsidR="00081F06" w:rsidRDefault="006C2462" w:rsidP="00081F06">
      <w:pPr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29526" wp14:editId="5A26C6E7">
                <wp:simplePos x="0" y="0"/>
                <wp:positionH relativeFrom="column">
                  <wp:posOffset>-194945</wp:posOffset>
                </wp:positionH>
                <wp:positionV relativeFrom="paragraph">
                  <wp:posOffset>344805</wp:posOffset>
                </wp:positionV>
                <wp:extent cx="6508750" cy="933450"/>
                <wp:effectExtent l="0" t="0" r="254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BF97" id="Prostokąt 2" o:spid="_x0000_s1026" style="position:absolute;margin-left:-15.35pt;margin-top:27.15pt;width:512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" fillcolor="#4472c4 [3204]" strokecolor="#1f3763 [1604]" strokeweight="1pt">
                <v:fill opacity="15677f"/>
              </v:rect>
            </w:pict>
          </mc:Fallback>
        </mc:AlternateContent>
      </w:r>
    </w:p>
    <w:p w:rsidR="00081F06" w:rsidRDefault="00081F06" w:rsidP="00643106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:rsidR="00643106" w:rsidRPr="00643106" w:rsidRDefault="00643106" w:rsidP="00643106">
      <w:pPr>
        <w:jc w:val="center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643106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Zakład ten nie będzie prowadził produkcji uciążliwej zapachowo karmy suchej czy produkcji mączek paszowych.</w:t>
      </w:r>
    </w:p>
    <w:p w:rsidR="00643106" w:rsidRDefault="00643106" w:rsidP="00643106">
      <w:pPr>
        <w:pStyle w:val="ListParagraph"/>
        <w:rPr>
          <w:rFonts w:ascii="Calibri" w:hAnsi="Calibri" w:cs="Calibri"/>
        </w:rPr>
      </w:pPr>
    </w:p>
    <w:p w:rsidR="00643106" w:rsidRDefault="00643106" w:rsidP="00081F06">
      <w:pPr>
        <w:pStyle w:val="ListParagraph"/>
        <w:rPr>
          <w:rFonts w:ascii="Calibri" w:hAnsi="Calibri" w:cs="Calibri"/>
        </w:rPr>
      </w:pPr>
    </w:p>
    <w:p w:rsidR="0099115A" w:rsidRDefault="00453BAD" w:rsidP="008E3F0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 względu na wykorzystywanie tylko wyselekcjonowanych surowców, ni</w:t>
      </w:r>
      <w:r w:rsidR="00F56649" w:rsidRPr="00C8757C">
        <w:rPr>
          <w:rFonts w:ascii="Calibri" w:hAnsi="Calibri" w:cs="Calibri"/>
        </w:rPr>
        <w:t xml:space="preserve">e ma  możliwości aby emitowały </w:t>
      </w:r>
      <w:r>
        <w:rPr>
          <w:rFonts w:ascii="Calibri" w:hAnsi="Calibri" w:cs="Calibri"/>
        </w:rPr>
        <w:t xml:space="preserve">one </w:t>
      </w:r>
      <w:r w:rsidR="00F56649" w:rsidRPr="00C8757C">
        <w:rPr>
          <w:rFonts w:ascii="Calibri" w:hAnsi="Calibri" w:cs="Calibri"/>
        </w:rPr>
        <w:t xml:space="preserve">uciążliwe zapachów. </w:t>
      </w:r>
    </w:p>
    <w:p w:rsidR="002976F1" w:rsidRPr="002976F1" w:rsidRDefault="00F56649" w:rsidP="008E3F0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C8757C">
        <w:rPr>
          <w:rFonts w:ascii="Calibri" w:hAnsi="Calibri" w:cs="Calibri"/>
        </w:rPr>
        <w:t xml:space="preserve">Również przyjęcie surowców przez rampy z pneumatycznymi rękawami, oraz magazynowaniu jak i obróbce ich w przestrzeni zamkniętej </w:t>
      </w:r>
      <w:r w:rsidRPr="00C8757C">
        <w:rPr>
          <w:rFonts w:ascii="Calibri" w:hAnsi="Calibri" w:cs="Calibri"/>
          <w:b/>
          <w:bCs/>
        </w:rPr>
        <w:t>nie będzie mieć wpływu na ilość much i insektów w okolicy.</w:t>
      </w:r>
      <w:r w:rsidR="0007460D" w:rsidRPr="00C8757C">
        <w:rPr>
          <w:rFonts w:ascii="Calibri" w:hAnsi="Calibri" w:cs="Calibri"/>
          <w:b/>
          <w:bCs/>
        </w:rPr>
        <w:t xml:space="preserve"> Zakład zostanie zabezpieczony i wyposażony w specjalistyczne urządzenia mające na celu ochronę otoczenia</w:t>
      </w:r>
      <w:r w:rsidR="008E3F03">
        <w:rPr>
          <w:rFonts w:ascii="Calibri" w:hAnsi="Calibri" w:cs="Calibri"/>
          <w:b/>
          <w:bCs/>
        </w:rPr>
        <w:t>,</w:t>
      </w:r>
      <w:r w:rsidR="0007460D" w:rsidRPr="00C8757C">
        <w:rPr>
          <w:rFonts w:ascii="Calibri" w:hAnsi="Calibri" w:cs="Calibri"/>
          <w:b/>
          <w:bCs/>
        </w:rPr>
        <w:t xml:space="preserve"> jak i wnętrza zakładu przed insektami jest to jeden z</w:t>
      </w:r>
      <w:r w:rsidR="004D050A" w:rsidRPr="00C8757C">
        <w:rPr>
          <w:rFonts w:ascii="Calibri" w:hAnsi="Calibri" w:cs="Calibri"/>
          <w:b/>
          <w:bCs/>
        </w:rPr>
        <w:t xml:space="preserve"> </w:t>
      </w:r>
      <w:r w:rsidR="0007460D" w:rsidRPr="00C8757C">
        <w:rPr>
          <w:rFonts w:ascii="Calibri" w:hAnsi="Calibri" w:cs="Calibri"/>
          <w:b/>
          <w:bCs/>
        </w:rPr>
        <w:t xml:space="preserve">licznych wymogów zawartych w </w:t>
      </w:r>
      <w:r w:rsidR="0007460D" w:rsidRPr="00C8757C">
        <w:rPr>
          <w:rFonts w:ascii="Calibri" w:hAnsi="Calibri" w:cs="Calibri"/>
        </w:rPr>
        <w:t>Rozporządzeniu (WE) 183/2005 Parlamentu Europejskiego i Rady z dnia 12 stycznie 2005 .</w:t>
      </w:r>
      <w:r w:rsidR="004D050A" w:rsidRPr="00C8757C">
        <w:rPr>
          <w:rFonts w:ascii="Calibri" w:hAnsi="Calibri" w:cs="Calibri"/>
          <w:b/>
          <w:bCs/>
        </w:rPr>
        <w:t xml:space="preserve"> </w:t>
      </w:r>
    </w:p>
    <w:p w:rsidR="00F56649" w:rsidRPr="00D01D83" w:rsidRDefault="00F56649" w:rsidP="008E3F0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color w:val="FF0000"/>
        </w:rPr>
      </w:pPr>
      <w:r w:rsidRPr="00D01D83">
        <w:rPr>
          <w:rFonts w:ascii="Calibri" w:hAnsi="Calibri" w:cs="Calibri"/>
          <w:b/>
          <w:bCs/>
        </w:rPr>
        <w:t>Zakłady pet food podlega takim samym a nawet bardziej rygorystycznym wymaganiom higienicznym jak zakład produkujący przetwory mięsne dla ludzi.</w:t>
      </w:r>
      <w:r w:rsidRPr="00D01D83">
        <w:rPr>
          <w:rFonts w:ascii="Calibri" w:hAnsi="Calibri" w:cs="Calibri"/>
        </w:rPr>
        <w:t xml:space="preserve"> Zasady funkcjonowanie zakładu określa prawo Unijne a dokładnie Rozporządzenie (WE) 183/2005 Parlamentu Europejskiego i Rady z dnia 12 stycznie 2005 ustanawiające wymagania dotyczące higieny pasz. Dodatkowo </w:t>
      </w:r>
      <w:r w:rsidRPr="00D01D83">
        <w:rPr>
          <w:rFonts w:ascii="Calibri" w:hAnsi="Calibri" w:cs="Calibri"/>
          <w:b/>
          <w:bCs/>
        </w:rPr>
        <w:t>zakład będzie certyfikowany zgodnie ze standardami jakościowymi IFS</w:t>
      </w:r>
      <w:r w:rsidRPr="00D01D83">
        <w:rPr>
          <w:rFonts w:ascii="Calibri" w:hAnsi="Calibri" w:cs="Calibri"/>
        </w:rPr>
        <w:t xml:space="preserve"> </w:t>
      </w:r>
      <w:r w:rsidR="00453BAD" w:rsidRPr="00D01D83">
        <w:rPr>
          <w:rFonts w:ascii="Calibri" w:hAnsi="Calibri" w:cs="Calibri"/>
        </w:rPr>
        <w:t xml:space="preserve"> (</w:t>
      </w:r>
      <w:hyperlink r:id="rId9" w:history="1">
        <w:r w:rsidR="00453BAD" w:rsidRPr="00D01D83">
          <w:rPr>
            <w:rStyle w:val="Hyperlink"/>
            <w:rFonts w:ascii="Calibri" w:hAnsi="Calibri" w:cs="Calibri"/>
            <w:color w:val="auto"/>
          </w:rPr>
          <w:t>https://www.ifs-certification.com/index.php/en/</w:t>
        </w:r>
      </w:hyperlink>
      <w:r w:rsidR="00453BAD" w:rsidRPr="00D01D83">
        <w:rPr>
          <w:rFonts w:ascii="Calibri" w:hAnsi="Calibri" w:cs="Calibri"/>
        </w:rPr>
        <w:t xml:space="preserve">) </w:t>
      </w:r>
      <w:r w:rsidRPr="00D01D83">
        <w:rPr>
          <w:rFonts w:ascii="Calibri" w:hAnsi="Calibri" w:cs="Calibri"/>
        </w:rPr>
        <w:t>których normy opierają się na wysokich reżimach jakościowych w zakresie higieny produkcji i działaniach niwelujących zagrożenia</w:t>
      </w:r>
      <w:r w:rsidR="004D050A" w:rsidRPr="00D01D83">
        <w:rPr>
          <w:rFonts w:ascii="Calibri" w:hAnsi="Calibri" w:cs="Calibri"/>
        </w:rPr>
        <w:t xml:space="preserve"> </w:t>
      </w:r>
      <w:r w:rsidRPr="00D01D83">
        <w:rPr>
          <w:rFonts w:ascii="Calibri" w:hAnsi="Calibri" w:cs="Calibri"/>
        </w:rPr>
        <w:t>zdrowia ludzi oraz epidemiologiczne. Certyfikacja IFS odbywa się przez niezależny organ certyfikujący i podlega</w:t>
      </w:r>
      <w:r w:rsidR="008E3F03">
        <w:rPr>
          <w:rFonts w:ascii="Calibri" w:hAnsi="Calibri" w:cs="Calibri"/>
        </w:rPr>
        <w:t>,</w:t>
      </w:r>
      <w:r w:rsidRPr="00D01D83">
        <w:rPr>
          <w:rFonts w:ascii="Calibri" w:hAnsi="Calibri" w:cs="Calibri"/>
        </w:rPr>
        <w:t xml:space="preserve"> co rocznym kontrolom w zakresie utrzymania standardów jakościowych w zakładzie</w:t>
      </w:r>
      <w:r w:rsidR="008E3F03">
        <w:rPr>
          <w:rFonts w:ascii="Calibri" w:hAnsi="Calibri" w:cs="Calibri"/>
        </w:rPr>
        <w:t>,</w:t>
      </w:r>
      <w:r w:rsidRPr="00D01D83">
        <w:rPr>
          <w:rFonts w:ascii="Calibri" w:hAnsi="Calibri" w:cs="Calibri"/>
        </w:rPr>
        <w:t xml:space="preserve"> jak i na terenie zewnętrznym zakładu.</w:t>
      </w:r>
      <w:r w:rsidR="004D050A" w:rsidRPr="00D01D83">
        <w:rPr>
          <w:rFonts w:ascii="Calibri" w:hAnsi="Calibri" w:cs="Calibri"/>
        </w:rPr>
        <w:t xml:space="preserve"> </w:t>
      </w:r>
      <w:r w:rsidRPr="00D01D83">
        <w:rPr>
          <w:rFonts w:ascii="Calibri" w:hAnsi="Calibri" w:cs="Calibri"/>
        </w:rPr>
        <w:t> </w:t>
      </w:r>
    </w:p>
    <w:p w:rsidR="00F56649" w:rsidRPr="00D7355C" w:rsidRDefault="00F56649" w:rsidP="008E3F03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99115A">
        <w:rPr>
          <w:rFonts w:ascii="Calibri" w:hAnsi="Calibri" w:cs="Calibri"/>
        </w:rPr>
        <w:t>Technologia produkcji oparta jest o surowce</w:t>
      </w:r>
      <w:r w:rsidR="0034022C" w:rsidRPr="0099115A">
        <w:rPr>
          <w:rFonts w:ascii="Calibri" w:hAnsi="Calibri" w:cs="Calibri"/>
        </w:rPr>
        <w:t xml:space="preserve"> mrożone oraz</w:t>
      </w:r>
      <w:r w:rsidR="004D050A" w:rsidRPr="0099115A">
        <w:rPr>
          <w:rFonts w:ascii="Calibri" w:hAnsi="Calibri" w:cs="Calibri"/>
        </w:rPr>
        <w:t xml:space="preserve"> </w:t>
      </w:r>
      <w:r w:rsidR="006D56F4" w:rsidRPr="0099115A">
        <w:rPr>
          <w:rFonts w:ascii="Calibri" w:hAnsi="Calibri" w:cs="Calibri"/>
        </w:rPr>
        <w:t>schłodzone</w:t>
      </w:r>
      <w:r w:rsidRPr="0099115A">
        <w:rPr>
          <w:rFonts w:ascii="Calibri" w:hAnsi="Calibri" w:cs="Calibri"/>
        </w:rPr>
        <w:t xml:space="preserve"> i odpowiada typowej technologii przetwórstwa żywność</w:t>
      </w:r>
      <w:r w:rsidR="00A97D39" w:rsidRPr="0099115A">
        <w:rPr>
          <w:rFonts w:ascii="Calibri" w:hAnsi="Calibri" w:cs="Calibri"/>
        </w:rPr>
        <w:t xml:space="preserve"> dla ludzi (produkcja konserw w puszkach)</w:t>
      </w:r>
      <w:r w:rsidR="00F0349D" w:rsidRPr="0099115A">
        <w:rPr>
          <w:rFonts w:ascii="Calibri" w:hAnsi="Calibri" w:cs="Calibri"/>
        </w:rPr>
        <w:t xml:space="preserve">. </w:t>
      </w:r>
      <w:r w:rsidR="00F0349D" w:rsidRPr="00D7355C">
        <w:rPr>
          <w:rFonts w:ascii="Calibri" w:hAnsi="Calibri" w:cs="Calibri"/>
          <w:b/>
          <w:bCs/>
        </w:rPr>
        <w:t xml:space="preserve">Zakład ten nie będzie prowadził </w:t>
      </w:r>
      <w:r w:rsidRPr="00D7355C">
        <w:rPr>
          <w:rFonts w:ascii="Calibri" w:hAnsi="Calibri" w:cs="Calibri"/>
          <w:b/>
          <w:bCs/>
        </w:rPr>
        <w:t xml:space="preserve">produkcji uciążliwej </w:t>
      </w:r>
      <w:r w:rsidR="00F0349D" w:rsidRPr="00D7355C">
        <w:rPr>
          <w:rFonts w:ascii="Calibri" w:hAnsi="Calibri" w:cs="Calibri"/>
          <w:b/>
          <w:bCs/>
        </w:rPr>
        <w:t xml:space="preserve">zapachowo </w:t>
      </w:r>
      <w:r w:rsidRPr="00D7355C">
        <w:rPr>
          <w:rFonts w:ascii="Calibri" w:hAnsi="Calibri" w:cs="Calibri"/>
          <w:b/>
          <w:bCs/>
        </w:rPr>
        <w:t>karmy suchej czy produkcji mączek</w:t>
      </w:r>
      <w:r w:rsidRPr="0099115A">
        <w:rPr>
          <w:rFonts w:ascii="Calibri" w:hAnsi="Calibri" w:cs="Calibri"/>
        </w:rPr>
        <w:t xml:space="preserve"> </w:t>
      </w:r>
      <w:r w:rsidRPr="00D7355C">
        <w:rPr>
          <w:rFonts w:ascii="Calibri" w:hAnsi="Calibri" w:cs="Calibri"/>
          <w:b/>
          <w:bCs/>
        </w:rPr>
        <w:t>paszowych</w:t>
      </w:r>
      <w:r w:rsidR="006D56F4" w:rsidRPr="0099115A">
        <w:rPr>
          <w:rFonts w:ascii="Calibri" w:hAnsi="Calibri" w:cs="Calibri"/>
        </w:rPr>
        <w:t>.</w:t>
      </w:r>
      <w:r w:rsidRPr="0099115A">
        <w:rPr>
          <w:rFonts w:ascii="Calibri" w:hAnsi="Calibri" w:cs="Calibri"/>
        </w:rPr>
        <w:t xml:space="preserve"> Dlatego nie należy przewidywać oddziaływań </w:t>
      </w:r>
      <w:r w:rsidR="00F0349D" w:rsidRPr="0099115A">
        <w:rPr>
          <w:rFonts w:ascii="Calibri" w:hAnsi="Calibri" w:cs="Calibri"/>
        </w:rPr>
        <w:t xml:space="preserve">zapachowych. </w:t>
      </w:r>
      <w:r w:rsidR="00F0349D" w:rsidRPr="00D7355C">
        <w:rPr>
          <w:rFonts w:ascii="Calibri" w:hAnsi="Calibri" w:cs="Calibri"/>
          <w:b/>
          <w:bCs/>
        </w:rPr>
        <w:t>Jest to zupełnie odrębny proces</w:t>
      </w:r>
      <w:r w:rsidR="002470D7" w:rsidRPr="00D7355C">
        <w:rPr>
          <w:rFonts w:ascii="Calibri" w:hAnsi="Calibri" w:cs="Calibri"/>
          <w:b/>
          <w:bCs/>
        </w:rPr>
        <w:t xml:space="preserve"> i inna technologia</w:t>
      </w:r>
      <w:r w:rsidR="006D56F4" w:rsidRPr="00D7355C">
        <w:rPr>
          <w:rFonts w:ascii="Calibri" w:hAnsi="Calibri" w:cs="Calibri"/>
          <w:b/>
          <w:bCs/>
        </w:rPr>
        <w:t>, zupełnie odmienna działalność, której nie planujemy prowadzić w tym zakładzie.</w:t>
      </w:r>
    </w:p>
    <w:p w:rsidR="0009678F" w:rsidRPr="009A304C" w:rsidRDefault="0034022C" w:rsidP="00882D2D">
      <w:pPr>
        <w:ind w:right="49" w:firstLine="360"/>
        <w:rPr>
          <w:rFonts w:cstheme="minorHAnsi"/>
          <w:iCs/>
          <w:color w:val="000000" w:themeColor="text1"/>
        </w:rPr>
      </w:pPr>
      <w:r w:rsidRPr="00000693">
        <w:rPr>
          <w:rFonts w:ascii="Calibri" w:hAnsi="Calibri" w:cs="Calibri"/>
        </w:rPr>
        <w:t>Dodatkowo chcielibyśmy nadmienić</w:t>
      </w:r>
      <w:r w:rsidR="008E3F03">
        <w:rPr>
          <w:rFonts w:ascii="Calibri" w:hAnsi="Calibri" w:cs="Calibri"/>
        </w:rPr>
        <w:t>,</w:t>
      </w:r>
      <w:r w:rsidRPr="00000693">
        <w:rPr>
          <w:rFonts w:ascii="Calibri" w:hAnsi="Calibri" w:cs="Calibri"/>
        </w:rPr>
        <w:t xml:space="preserve"> iż analogiczne zakłady produkcyjne umiejscowione są nawet w centrach miast i nie stanowią uciążliwego sąsiedztwa dla mieszkańców</w:t>
      </w:r>
      <w:r w:rsidR="00D7355C">
        <w:rPr>
          <w:rFonts w:ascii="Calibri" w:hAnsi="Calibri" w:cs="Calibri"/>
        </w:rPr>
        <w:t xml:space="preserve"> (</w:t>
      </w:r>
      <w:r w:rsidR="00331E60" w:rsidRPr="00453BAD">
        <w:rPr>
          <w:rFonts w:ascii="Calibri" w:hAnsi="Calibri" w:cs="Calibri"/>
          <w:b/>
          <w:bCs/>
          <w:color w:val="000000" w:themeColor="text1"/>
        </w:rPr>
        <w:t>Nestle Purina</w:t>
      </w:r>
      <w:r w:rsidR="00453BAD" w:rsidRPr="00453BAD">
        <w:rPr>
          <w:rFonts w:ascii="Calibri" w:hAnsi="Calibri" w:cs="Calibri"/>
          <w:b/>
          <w:bCs/>
          <w:color w:val="000000" w:themeColor="text1"/>
        </w:rPr>
        <w:t xml:space="preserve"> Pet Care</w:t>
      </w:r>
      <w:r w:rsidR="00331E60">
        <w:rPr>
          <w:rFonts w:ascii="Calibri" w:hAnsi="Calibri" w:cs="Calibri"/>
          <w:color w:val="000000" w:themeColor="text1"/>
        </w:rPr>
        <w:t xml:space="preserve"> w Nowej</w:t>
      </w:r>
      <w:r w:rsidR="00453BAD">
        <w:rPr>
          <w:rFonts w:ascii="Calibri" w:hAnsi="Calibri" w:cs="Calibri"/>
          <w:color w:val="000000" w:themeColor="text1"/>
        </w:rPr>
        <w:t xml:space="preserve"> Wsi </w:t>
      </w:r>
      <w:r w:rsidR="00331E60">
        <w:rPr>
          <w:rFonts w:ascii="Calibri" w:hAnsi="Calibri" w:cs="Calibri"/>
          <w:color w:val="000000" w:themeColor="text1"/>
        </w:rPr>
        <w:t>Wrocławskiej</w:t>
      </w:r>
      <w:r w:rsidR="00453BAD">
        <w:rPr>
          <w:rFonts w:ascii="Calibri" w:hAnsi="Calibri" w:cs="Calibri"/>
          <w:color w:val="000000" w:themeColor="text1"/>
        </w:rPr>
        <w:t xml:space="preserve"> -  gdzie prowadzona jest produkcja karmy zarówno mokrej</w:t>
      </w:r>
      <w:r w:rsidR="008E3F03">
        <w:rPr>
          <w:rFonts w:ascii="Calibri" w:hAnsi="Calibri" w:cs="Calibri"/>
          <w:color w:val="000000" w:themeColor="text1"/>
        </w:rPr>
        <w:t>,</w:t>
      </w:r>
      <w:r w:rsidR="00453BAD">
        <w:rPr>
          <w:rFonts w:ascii="Calibri" w:hAnsi="Calibri" w:cs="Calibri"/>
          <w:color w:val="000000" w:themeColor="text1"/>
        </w:rPr>
        <w:t xml:space="preserve"> jak i suchej; </w:t>
      </w:r>
      <w:r w:rsidR="00453BAD" w:rsidRPr="00453BAD">
        <w:rPr>
          <w:rFonts w:ascii="Calibri" w:hAnsi="Calibri" w:cs="Calibri"/>
          <w:b/>
          <w:bCs/>
          <w:color w:val="000000" w:themeColor="text1"/>
        </w:rPr>
        <w:t>Mars SA w Sochaczewie</w:t>
      </w:r>
      <w:r w:rsidR="00453BAD">
        <w:rPr>
          <w:rFonts w:ascii="Calibri" w:hAnsi="Calibri" w:cs="Calibri"/>
          <w:color w:val="000000" w:themeColor="text1"/>
        </w:rPr>
        <w:t xml:space="preserve"> – gdzie w jednym kompleksie przemysłowym ulokowana jest produkcja karmy dla zwierząt</w:t>
      </w:r>
      <w:r w:rsidR="00642411">
        <w:rPr>
          <w:rFonts w:ascii="Calibri" w:hAnsi="Calibri" w:cs="Calibri"/>
          <w:color w:val="000000" w:themeColor="text1"/>
        </w:rPr>
        <w:t>,</w:t>
      </w:r>
      <w:r w:rsidR="00453BAD">
        <w:rPr>
          <w:rFonts w:ascii="Calibri" w:hAnsi="Calibri" w:cs="Calibri"/>
          <w:color w:val="000000" w:themeColor="text1"/>
        </w:rPr>
        <w:t xml:space="preserve"> jak i </w:t>
      </w:r>
      <w:r w:rsidR="00882D2D">
        <w:rPr>
          <w:rFonts w:ascii="Calibri" w:hAnsi="Calibri" w:cs="Calibri"/>
          <w:color w:val="000000" w:themeColor="text1"/>
        </w:rPr>
        <w:t xml:space="preserve">np. </w:t>
      </w:r>
      <w:r w:rsidR="00453BAD">
        <w:rPr>
          <w:rFonts w:ascii="Calibri" w:hAnsi="Calibri" w:cs="Calibri"/>
          <w:color w:val="000000" w:themeColor="text1"/>
        </w:rPr>
        <w:t xml:space="preserve">czekolady; </w:t>
      </w:r>
      <w:r w:rsidR="00453BAD" w:rsidRPr="00453BAD">
        <w:rPr>
          <w:rFonts w:ascii="Calibri" w:hAnsi="Calibri" w:cs="Calibri"/>
          <w:b/>
          <w:bCs/>
          <w:color w:val="000000" w:themeColor="text1"/>
        </w:rPr>
        <w:t>Mispol SA</w:t>
      </w:r>
      <w:r w:rsidR="00453BAD">
        <w:rPr>
          <w:rFonts w:ascii="Calibri" w:hAnsi="Calibri" w:cs="Calibri"/>
          <w:color w:val="000000" w:themeColor="text1"/>
        </w:rPr>
        <w:t xml:space="preserve"> Białystok, ul. Octowa 1 )</w:t>
      </w:r>
    </w:p>
    <w:p w:rsidR="0009678F" w:rsidRDefault="0009678F" w:rsidP="0009678F">
      <w:pPr>
        <w:ind w:right="49"/>
        <w:rPr>
          <w:rFonts w:cstheme="minorHAnsi"/>
          <w:iCs/>
        </w:rPr>
      </w:pPr>
    </w:p>
    <w:sectPr w:rsidR="000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8C65" w16cex:dateUtc="2020-09-01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17415" w16cid:durableId="22F88C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12" w:rsidRDefault="008E6212" w:rsidP="0009678F">
      <w:pPr>
        <w:spacing w:after="0" w:line="240" w:lineRule="auto"/>
      </w:pPr>
      <w:r>
        <w:separator/>
      </w:r>
    </w:p>
  </w:endnote>
  <w:endnote w:type="continuationSeparator" w:id="0">
    <w:p w:rsidR="008E6212" w:rsidRDefault="008E6212" w:rsidP="0009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12" w:rsidRDefault="008E6212" w:rsidP="0009678F">
      <w:pPr>
        <w:spacing w:after="0" w:line="240" w:lineRule="auto"/>
      </w:pPr>
      <w:r>
        <w:separator/>
      </w:r>
    </w:p>
  </w:footnote>
  <w:footnote w:type="continuationSeparator" w:id="0">
    <w:p w:rsidR="008E6212" w:rsidRDefault="008E6212" w:rsidP="0009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F4C"/>
    <w:multiLevelType w:val="hybridMultilevel"/>
    <w:tmpl w:val="0246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2377"/>
    <w:multiLevelType w:val="hybridMultilevel"/>
    <w:tmpl w:val="7D20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D19"/>
    <w:multiLevelType w:val="hybridMultilevel"/>
    <w:tmpl w:val="15B4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62"/>
    <w:multiLevelType w:val="hybridMultilevel"/>
    <w:tmpl w:val="7CE0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5B9"/>
    <w:multiLevelType w:val="hybridMultilevel"/>
    <w:tmpl w:val="4DE01F52"/>
    <w:lvl w:ilvl="0" w:tplc="050E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62E13"/>
    <w:multiLevelType w:val="hybridMultilevel"/>
    <w:tmpl w:val="65724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849F0"/>
    <w:multiLevelType w:val="hybridMultilevel"/>
    <w:tmpl w:val="8C7E5964"/>
    <w:lvl w:ilvl="0" w:tplc="EE90D4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84E9D"/>
    <w:multiLevelType w:val="hybridMultilevel"/>
    <w:tmpl w:val="F1BC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1D45"/>
    <w:multiLevelType w:val="hybridMultilevel"/>
    <w:tmpl w:val="2E7E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8B"/>
    <w:rsid w:val="00000693"/>
    <w:rsid w:val="00043AA0"/>
    <w:rsid w:val="0007460D"/>
    <w:rsid w:val="00081F06"/>
    <w:rsid w:val="0009678F"/>
    <w:rsid w:val="000A1EB8"/>
    <w:rsid w:val="000E3ACA"/>
    <w:rsid w:val="0010421E"/>
    <w:rsid w:val="00107754"/>
    <w:rsid w:val="00125E7D"/>
    <w:rsid w:val="00132B1B"/>
    <w:rsid w:val="00142EB2"/>
    <w:rsid w:val="0020249F"/>
    <w:rsid w:val="002140E3"/>
    <w:rsid w:val="002261CF"/>
    <w:rsid w:val="0023250A"/>
    <w:rsid w:val="002470D7"/>
    <w:rsid w:val="00274BD3"/>
    <w:rsid w:val="002976F1"/>
    <w:rsid w:val="002A52FE"/>
    <w:rsid w:val="002B60DC"/>
    <w:rsid w:val="00331E60"/>
    <w:rsid w:val="0034022C"/>
    <w:rsid w:val="00453BAD"/>
    <w:rsid w:val="004B5153"/>
    <w:rsid w:val="004C7CF4"/>
    <w:rsid w:val="004D050A"/>
    <w:rsid w:val="004D6871"/>
    <w:rsid w:val="005064E4"/>
    <w:rsid w:val="00565060"/>
    <w:rsid w:val="0059484D"/>
    <w:rsid w:val="005D5A07"/>
    <w:rsid w:val="005F6C15"/>
    <w:rsid w:val="00610F0E"/>
    <w:rsid w:val="00627B72"/>
    <w:rsid w:val="006348FF"/>
    <w:rsid w:val="00642411"/>
    <w:rsid w:val="00643106"/>
    <w:rsid w:val="006C2462"/>
    <w:rsid w:val="006D56F4"/>
    <w:rsid w:val="006F588B"/>
    <w:rsid w:val="007D17D3"/>
    <w:rsid w:val="007E485F"/>
    <w:rsid w:val="00862870"/>
    <w:rsid w:val="00882D2D"/>
    <w:rsid w:val="00884033"/>
    <w:rsid w:val="008946F5"/>
    <w:rsid w:val="008D3F27"/>
    <w:rsid w:val="008E28E5"/>
    <w:rsid w:val="008E3F03"/>
    <w:rsid w:val="008E6212"/>
    <w:rsid w:val="00910ED2"/>
    <w:rsid w:val="00937862"/>
    <w:rsid w:val="00943775"/>
    <w:rsid w:val="0096585C"/>
    <w:rsid w:val="009852F3"/>
    <w:rsid w:val="0099115A"/>
    <w:rsid w:val="00991D16"/>
    <w:rsid w:val="00996786"/>
    <w:rsid w:val="00997CC0"/>
    <w:rsid w:val="009A304C"/>
    <w:rsid w:val="009E0C1B"/>
    <w:rsid w:val="009E7744"/>
    <w:rsid w:val="00A15B79"/>
    <w:rsid w:val="00A9378A"/>
    <w:rsid w:val="00A97D39"/>
    <w:rsid w:val="00B4103F"/>
    <w:rsid w:val="00B475E0"/>
    <w:rsid w:val="00B85876"/>
    <w:rsid w:val="00B9173F"/>
    <w:rsid w:val="00C01F54"/>
    <w:rsid w:val="00C5752A"/>
    <w:rsid w:val="00C8757C"/>
    <w:rsid w:val="00CA40BE"/>
    <w:rsid w:val="00CC0F90"/>
    <w:rsid w:val="00CE6C31"/>
    <w:rsid w:val="00D01D83"/>
    <w:rsid w:val="00D33CB2"/>
    <w:rsid w:val="00D60D60"/>
    <w:rsid w:val="00D7355C"/>
    <w:rsid w:val="00D924F9"/>
    <w:rsid w:val="00E33B45"/>
    <w:rsid w:val="00E352D8"/>
    <w:rsid w:val="00E428CF"/>
    <w:rsid w:val="00E64127"/>
    <w:rsid w:val="00E905D3"/>
    <w:rsid w:val="00EF3E4B"/>
    <w:rsid w:val="00F0349D"/>
    <w:rsid w:val="00F40B3A"/>
    <w:rsid w:val="00F46D94"/>
    <w:rsid w:val="00F479B6"/>
    <w:rsid w:val="00F51ED6"/>
    <w:rsid w:val="00F541E1"/>
    <w:rsid w:val="00F56649"/>
    <w:rsid w:val="00F94ACA"/>
    <w:rsid w:val="00FC7168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03E6"/>
  <w15:chartTrackingRefBased/>
  <w15:docId w15:val="{AB9110AF-FDA7-4139-B4FE-AD2DD8C8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next w:val="Normal"/>
    <w:link w:val="Heading6Char"/>
    <w:uiPriority w:val="9"/>
    <w:unhideWhenUsed/>
    <w:qFormat/>
    <w:rsid w:val="00274BD3"/>
    <w:pPr>
      <w:keepNext/>
      <w:keepLines/>
      <w:spacing w:after="27" w:line="248" w:lineRule="auto"/>
      <w:ind w:left="10" w:hanging="10"/>
      <w:outlineLvl w:val="5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2FE"/>
    <w:pPr>
      <w:ind w:left="720"/>
      <w:contextualSpacing/>
    </w:pPr>
  </w:style>
  <w:style w:type="table" w:styleId="TableGrid">
    <w:name w:val="Table Grid"/>
    <w:basedOn w:val="TableNormal"/>
    <w:uiPriority w:val="39"/>
    <w:rsid w:val="008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74B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274BD3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C0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54"/>
  </w:style>
  <w:style w:type="paragraph" w:styleId="Footer">
    <w:name w:val="footer"/>
    <w:basedOn w:val="Normal"/>
    <w:link w:val="FooterChar"/>
    <w:uiPriority w:val="99"/>
    <w:unhideWhenUsed/>
    <w:rsid w:val="0009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8F"/>
  </w:style>
  <w:style w:type="paragraph" w:styleId="BalloonText">
    <w:name w:val="Balloon Text"/>
    <w:basedOn w:val="Normal"/>
    <w:link w:val="BalloonTextChar"/>
    <w:uiPriority w:val="99"/>
    <w:semiHidden/>
    <w:unhideWhenUsed/>
    <w:rsid w:val="00A1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4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49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25E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E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E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75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podarczy.lublin.eu/branze/przetworstwo-zywnosci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s-certification.com/index.php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0672-981D-4F4E-95F4-04D6B8CE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2238</Words>
  <Characters>13430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Mystkowska</dc:creator>
  <cp:keywords/>
  <dc:description/>
  <cp:lastModifiedBy>Monika Podsiadły</cp:lastModifiedBy>
  <cp:revision>4</cp:revision>
  <cp:lastPrinted>2020-08-29T18:31:00Z</cp:lastPrinted>
  <dcterms:created xsi:type="dcterms:W3CDTF">2020-09-02T18:48:00Z</dcterms:created>
  <dcterms:modified xsi:type="dcterms:W3CDTF">2020-09-07T13:35:00Z</dcterms:modified>
</cp:coreProperties>
</file>