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92B3" w14:textId="77777777" w:rsidR="00026022" w:rsidRDefault="00026022" w:rsidP="00026022">
      <w:pPr>
        <w:pStyle w:val="Nagwek"/>
        <w:ind w:right="-53"/>
        <w:jc w:val="center"/>
        <w:rPr>
          <w:rStyle w:val="Pogrubienie"/>
          <w:rFonts w:ascii="Tahoma" w:hAnsi="Tahoma" w:cs="Tahoma"/>
          <w:color w:val="323232"/>
          <w:sz w:val="28"/>
          <w:szCs w:val="28"/>
          <w:shd w:val="clear" w:color="auto" w:fill="FFFFFF"/>
        </w:rPr>
      </w:pPr>
    </w:p>
    <w:p w14:paraId="369A4C77" w14:textId="1C1E9728" w:rsidR="008208AC" w:rsidRPr="00026022" w:rsidRDefault="008208AC" w:rsidP="00026022">
      <w:pPr>
        <w:pStyle w:val="Nagwek"/>
        <w:ind w:right="-53"/>
        <w:jc w:val="center"/>
        <w:rPr>
          <w:rFonts w:ascii="Tahoma" w:hAnsi="Tahoma" w:cs="Tahoma"/>
          <w:b/>
          <w:bCs/>
          <w:color w:val="323232"/>
          <w:sz w:val="28"/>
          <w:szCs w:val="28"/>
          <w:shd w:val="clear" w:color="auto" w:fill="FFFFFF"/>
        </w:rPr>
      </w:pPr>
      <w:r w:rsidRPr="00404F27">
        <w:rPr>
          <w:rStyle w:val="Pogrubienie"/>
          <w:rFonts w:ascii="Tahoma" w:hAnsi="Tahoma" w:cs="Tahoma"/>
          <w:color w:val="323232"/>
          <w:sz w:val="28"/>
          <w:szCs w:val="28"/>
          <w:shd w:val="clear" w:color="auto" w:fill="FFFFFF"/>
        </w:rPr>
        <w:t>Planu Zrównoważonej Mobilności Miejskiej (SUMP LOM)</w:t>
      </w:r>
    </w:p>
    <w:p w14:paraId="2FBBBBE0" w14:textId="73758CCD" w:rsidR="00026022" w:rsidRPr="00026022" w:rsidRDefault="00026022" w:rsidP="00026022">
      <w:pPr>
        <w:jc w:val="center"/>
        <w:rPr>
          <w:rFonts w:ascii="Arial" w:hAnsi="Arial" w:cs="Arial"/>
          <w:bCs/>
        </w:rPr>
      </w:pPr>
      <w:r w:rsidRPr="00026022">
        <w:rPr>
          <w:rFonts w:ascii="Arial" w:hAnsi="Arial" w:cs="Arial"/>
          <w:bCs/>
        </w:rPr>
        <w:t xml:space="preserve">Przed wypełnieniem formularza zapoznaj się z projektem SUMP LOM dostępnym na </w:t>
      </w:r>
      <w:hyperlink r:id="rId8" w:history="1">
        <w:r w:rsidRPr="00026022">
          <w:rPr>
            <w:rStyle w:val="Hipercze"/>
            <w:rFonts w:ascii="Arial" w:hAnsi="Arial" w:cs="Arial"/>
            <w:bCs/>
          </w:rPr>
          <w:t>zit</w:t>
        </w:r>
        <w:r w:rsidR="00F16C93">
          <w:rPr>
            <w:rStyle w:val="Hipercze"/>
            <w:rFonts w:ascii="Arial" w:hAnsi="Arial" w:cs="Arial"/>
            <w:bCs/>
          </w:rPr>
          <w:t>.lublin.eu/</w:t>
        </w:r>
        <w:proofErr w:type="spellStart"/>
        <w:r w:rsidR="00F16C93">
          <w:rPr>
            <w:rStyle w:val="Hipercze"/>
            <w:rFonts w:ascii="Arial" w:hAnsi="Arial" w:cs="Arial"/>
            <w:bCs/>
          </w:rPr>
          <w:t>sump</w:t>
        </w:r>
        <w:proofErr w:type="spellEnd"/>
      </w:hyperlink>
    </w:p>
    <w:p w14:paraId="717B97D5" w14:textId="38753BC3" w:rsidR="007007FF" w:rsidRPr="00B81F94" w:rsidRDefault="00E86823" w:rsidP="00B81F94">
      <w:pPr>
        <w:pStyle w:val="NormalnyWeb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sz w:val="22"/>
          <w:szCs w:val="22"/>
        </w:rPr>
      </w:pPr>
      <w:r w:rsidRPr="00491328">
        <w:rPr>
          <w:rFonts w:ascii="Arial" w:hAnsi="Arial" w:cs="Arial"/>
          <w:b/>
          <w:sz w:val="28"/>
          <w:szCs w:val="32"/>
          <w:u w:val="single"/>
        </w:rPr>
        <w:t>Formularz uwag</w:t>
      </w:r>
      <w:r w:rsidR="00B81F94">
        <w:rPr>
          <w:rFonts w:ascii="Arial" w:hAnsi="Arial" w:cs="Arial"/>
          <w:b/>
          <w:sz w:val="28"/>
          <w:szCs w:val="32"/>
          <w:u w:val="single"/>
        </w:rPr>
        <w:br/>
      </w:r>
      <w:r w:rsidR="00B81F94" w:rsidRPr="00B81F94">
        <w:rPr>
          <w:rFonts w:ascii="Arial" w:hAnsi="Arial" w:cs="Arial"/>
          <w:b/>
          <w:sz w:val="22"/>
          <w:szCs w:val="22"/>
          <w:u w:val="single"/>
        </w:rPr>
        <w:t>Tekst SUMP LOM i Prognoza odziaływania na środowisko znajdują się na</w:t>
      </w:r>
      <w:r w:rsidR="00B81F94" w:rsidRPr="00B81F94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hyperlink r:id="rId9" w:history="1">
        <w:r w:rsidR="00B81F94" w:rsidRPr="00B81F94">
          <w:rPr>
            <w:rStyle w:val="Hipercze"/>
            <w:rFonts w:ascii="Arial" w:hAnsi="Arial" w:cs="Arial"/>
            <w:b/>
            <w:bCs/>
            <w:color w:val="1B1B1B"/>
            <w:sz w:val="22"/>
            <w:szCs w:val="22"/>
            <w:shd w:val="clear" w:color="auto" w:fill="FFFFFF"/>
          </w:rPr>
          <w:t>zit.lublin.eu/</w:t>
        </w:r>
        <w:proofErr w:type="spellStart"/>
        <w:r w:rsidR="00B81F94" w:rsidRPr="00B81F94">
          <w:rPr>
            <w:rStyle w:val="Hipercze"/>
            <w:rFonts w:ascii="Arial" w:hAnsi="Arial" w:cs="Arial"/>
            <w:b/>
            <w:bCs/>
            <w:color w:val="1B1B1B"/>
            <w:sz w:val="22"/>
            <w:szCs w:val="22"/>
            <w:shd w:val="clear" w:color="auto" w:fill="FFFFFF"/>
          </w:rPr>
          <w:t>sump</w:t>
        </w:r>
        <w:proofErr w:type="spellEnd"/>
      </w:hyperlink>
    </w:p>
    <w:tbl>
      <w:tblPr>
        <w:tblpPr w:leftFromText="141" w:rightFromText="141" w:vertAnchor="page" w:horzAnchor="margin" w:tblpY="3901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5"/>
        <w:gridCol w:w="3419"/>
        <w:gridCol w:w="891"/>
        <w:gridCol w:w="6942"/>
        <w:gridCol w:w="3398"/>
      </w:tblGrid>
      <w:tr w:rsidR="00491328" w:rsidRPr="0082261A" w14:paraId="42A12801" w14:textId="77777777" w:rsidTr="007C725A">
        <w:trPr>
          <w:trHeight w:val="1567"/>
        </w:trPr>
        <w:tc>
          <w:tcPr>
            <w:tcW w:w="214" w:type="pct"/>
            <w:shd w:val="clear" w:color="auto" w:fill="auto"/>
            <w:vAlign w:val="center"/>
          </w:tcPr>
          <w:p w14:paraId="6AFC8ADD" w14:textId="77777777" w:rsidR="00491328" w:rsidRDefault="00491328" w:rsidP="007C725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682E21" w14:textId="77777777" w:rsidR="00491328" w:rsidRDefault="00491328" w:rsidP="007C725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8BE8CEB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0130E0A0" w14:textId="0FD870BA" w:rsidR="00491328" w:rsidRPr="0054587F" w:rsidRDefault="00491328" w:rsidP="007C72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B261804" w14:textId="0EECA3E7" w:rsidR="00491328" w:rsidRPr="0054587F" w:rsidRDefault="00491328" w:rsidP="007C72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0F742CA5" w14:textId="40C6E795" w:rsidR="00491328" w:rsidRPr="0054587F" w:rsidRDefault="00491328" w:rsidP="007C72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 xml:space="preserve">Treść uwagi </w:t>
            </w:r>
            <w:r>
              <w:rPr>
                <w:rFonts w:ascii="Arial" w:hAnsi="Arial" w:cs="Arial"/>
                <w:b/>
              </w:rPr>
              <w:t xml:space="preserve">lub </w:t>
            </w:r>
            <w:r w:rsidRPr="0054587F">
              <w:rPr>
                <w:rFonts w:ascii="Arial" w:hAnsi="Arial" w:cs="Arial"/>
                <w:b/>
              </w:rPr>
              <w:t>propozycja zmian</w:t>
            </w: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76E1770D" w14:textId="3D7A7279" w:rsidR="00491328" w:rsidRPr="0054587F" w:rsidRDefault="00491328" w:rsidP="007C72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 xml:space="preserve">Uzasadnienie </w:t>
            </w:r>
          </w:p>
        </w:tc>
      </w:tr>
      <w:tr w:rsidR="00491328" w:rsidRPr="0082261A" w14:paraId="630D0703" w14:textId="77777777" w:rsidTr="007C725A">
        <w:trPr>
          <w:trHeight w:val="262"/>
        </w:trPr>
        <w:tc>
          <w:tcPr>
            <w:tcW w:w="214" w:type="pct"/>
            <w:shd w:val="clear" w:color="auto" w:fill="auto"/>
            <w:vAlign w:val="center"/>
          </w:tcPr>
          <w:p w14:paraId="3B8898FD" w14:textId="77777777" w:rsidR="00491328" w:rsidRPr="0054587F" w:rsidRDefault="00491328" w:rsidP="007C725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17" w:type="pct"/>
            <w:shd w:val="clear" w:color="auto" w:fill="auto"/>
          </w:tcPr>
          <w:p w14:paraId="0261E799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14:paraId="00FE8937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pct"/>
            <w:shd w:val="clear" w:color="auto" w:fill="auto"/>
          </w:tcPr>
          <w:p w14:paraId="3FE2B20A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0" w:type="pct"/>
            <w:shd w:val="clear" w:color="auto" w:fill="auto"/>
          </w:tcPr>
          <w:p w14:paraId="76D4F6CD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1328" w:rsidRPr="0082261A" w14:paraId="334374AC" w14:textId="77777777" w:rsidTr="007C725A">
        <w:trPr>
          <w:trHeight w:val="272"/>
        </w:trPr>
        <w:tc>
          <w:tcPr>
            <w:tcW w:w="214" w:type="pct"/>
            <w:shd w:val="clear" w:color="auto" w:fill="auto"/>
            <w:vAlign w:val="center"/>
          </w:tcPr>
          <w:p w14:paraId="05D2F7B4" w14:textId="77777777" w:rsidR="00491328" w:rsidRPr="0054587F" w:rsidRDefault="00491328" w:rsidP="007C725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17" w:type="pct"/>
            <w:shd w:val="clear" w:color="auto" w:fill="auto"/>
          </w:tcPr>
          <w:p w14:paraId="0975604D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14:paraId="76FC2E61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pct"/>
            <w:shd w:val="clear" w:color="auto" w:fill="auto"/>
          </w:tcPr>
          <w:p w14:paraId="438C3939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0" w:type="pct"/>
            <w:shd w:val="clear" w:color="auto" w:fill="auto"/>
          </w:tcPr>
          <w:p w14:paraId="757C0E74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1328" w:rsidRPr="0082261A" w14:paraId="26BD0716" w14:textId="77777777" w:rsidTr="007C725A">
        <w:trPr>
          <w:trHeight w:val="262"/>
        </w:trPr>
        <w:tc>
          <w:tcPr>
            <w:tcW w:w="214" w:type="pct"/>
            <w:shd w:val="clear" w:color="auto" w:fill="auto"/>
            <w:vAlign w:val="center"/>
          </w:tcPr>
          <w:p w14:paraId="3DDFC021" w14:textId="77777777" w:rsidR="00491328" w:rsidRPr="0054587F" w:rsidRDefault="00491328" w:rsidP="007C725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17" w:type="pct"/>
            <w:shd w:val="clear" w:color="auto" w:fill="auto"/>
          </w:tcPr>
          <w:p w14:paraId="4BDA7D11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14:paraId="17FCCF2B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pct"/>
            <w:shd w:val="clear" w:color="auto" w:fill="auto"/>
          </w:tcPr>
          <w:p w14:paraId="58A45DDD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0" w:type="pct"/>
            <w:shd w:val="clear" w:color="auto" w:fill="auto"/>
          </w:tcPr>
          <w:p w14:paraId="34B1DECC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1328" w:rsidRPr="0082261A" w14:paraId="535D6294" w14:textId="77777777" w:rsidTr="007C725A">
        <w:trPr>
          <w:trHeight w:val="262"/>
        </w:trPr>
        <w:tc>
          <w:tcPr>
            <w:tcW w:w="214" w:type="pct"/>
            <w:shd w:val="clear" w:color="auto" w:fill="auto"/>
            <w:vAlign w:val="center"/>
          </w:tcPr>
          <w:p w14:paraId="3CC59BB4" w14:textId="77777777" w:rsidR="00491328" w:rsidRPr="0054587F" w:rsidRDefault="00491328" w:rsidP="007C725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17" w:type="pct"/>
            <w:shd w:val="clear" w:color="auto" w:fill="auto"/>
          </w:tcPr>
          <w:p w14:paraId="03F31186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14:paraId="1EF3FFF3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pct"/>
            <w:shd w:val="clear" w:color="auto" w:fill="auto"/>
          </w:tcPr>
          <w:p w14:paraId="11AEBE95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0" w:type="pct"/>
            <w:shd w:val="clear" w:color="auto" w:fill="auto"/>
          </w:tcPr>
          <w:p w14:paraId="77D22188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1328" w:rsidRPr="0082261A" w14:paraId="1F27CDAB" w14:textId="77777777" w:rsidTr="007C725A">
        <w:trPr>
          <w:trHeight w:val="262"/>
        </w:trPr>
        <w:tc>
          <w:tcPr>
            <w:tcW w:w="214" w:type="pct"/>
            <w:shd w:val="clear" w:color="auto" w:fill="auto"/>
            <w:vAlign w:val="center"/>
          </w:tcPr>
          <w:p w14:paraId="409BB17D" w14:textId="77777777" w:rsidR="00491328" w:rsidRPr="0054587F" w:rsidRDefault="00491328" w:rsidP="007C725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17" w:type="pct"/>
            <w:shd w:val="clear" w:color="auto" w:fill="auto"/>
          </w:tcPr>
          <w:p w14:paraId="2FF4ED91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14:paraId="624A8F64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pct"/>
            <w:shd w:val="clear" w:color="auto" w:fill="auto"/>
          </w:tcPr>
          <w:p w14:paraId="616BE69D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0" w:type="pct"/>
            <w:shd w:val="clear" w:color="auto" w:fill="auto"/>
          </w:tcPr>
          <w:p w14:paraId="037AF579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1328" w:rsidRPr="0082261A" w14:paraId="1E66CC72" w14:textId="77777777" w:rsidTr="007C725A">
        <w:trPr>
          <w:trHeight w:val="262"/>
        </w:trPr>
        <w:tc>
          <w:tcPr>
            <w:tcW w:w="214" w:type="pct"/>
            <w:shd w:val="clear" w:color="auto" w:fill="auto"/>
            <w:vAlign w:val="center"/>
          </w:tcPr>
          <w:p w14:paraId="5509E120" w14:textId="77777777" w:rsidR="00491328" w:rsidRPr="0054587F" w:rsidRDefault="00491328" w:rsidP="007C725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17" w:type="pct"/>
            <w:shd w:val="clear" w:color="auto" w:fill="auto"/>
          </w:tcPr>
          <w:p w14:paraId="770E77D1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14:paraId="01177C0C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pct"/>
            <w:shd w:val="clear" w:color="auto" w:fill="auto"/>
          </w:tcPr>
          <w:p w14:paraId="7CFE9A38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0" w:type="pct"/>
            <w:shd w:val="clear" w:color="auto" w:fill="auto"/>
          </w:tcPr>
          <w:p w14:paraId="4E6F4996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1328" w:rsidRPr="0082261A" w14:paraId="27AB36FB" w14:textId="77777777" w:rsidTr="007C725A">
        <w:trPr>
          <w:trHeight w:val="262"/>
        </w:trPr>
        <w:tc>
          <w:tcPr>
            <w:tcW w:w="214" w:type="pct"/>
            <w:shd w:val="clear" w:color="auto" w:fill="auto"/>
            <w:vAlign w:val="center"/>
          </w:tcPr>
          <w:p w14:paraId="68BDF9CB" w14:textId="77777777" w:rsidR="00491328" w:rsidRPr="0054587F" w:rsidRDefault="00491328" w:rsidP="007C725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17" w:type="pct"/>
            <w:shd w:val="clear" w:color="auto" w:fill="auto"/>
          </w:tcPr>
          <w:p w14:paraId="5B24CC6B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14:paraId="2DC2FF63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pct"/>
            <w:shd w:val="clear" w:color="auto" w:fill="auto"/>
          </w:tcPr>
          <w:p w14:paraId="2CCC3CA0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0" w:type="pct"/>
            <w:shd w:val="clear" w:color="auto" w:fill="auto"/>
          </w:tcPr>
          <w:p w14:paraId="323EA0CA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1328" w:rsidRPr="0082261A" w14:paraId="13E9441A" w14:textId="77777777" w:rsidTr="007C725A">
        <w:trPr>
          <w:trHeight w:val="262"/>
        </w:trPr>
        <w:tc>
          <w:tcPr>
            <w:tcW w:w="214" w:type="pct"/>
            <w:shd w:val="clear" w:color="auto" w:fill="auto"/>
            <w:vAlign w:val="center"/>
          </w:tcPr>
          <w:p w14:paraId="6E690D9A" w14:textId="77777777" w:rsidR="00491328" w:rsidRPr="0054587F" w:rsidRDefault="00491328" w:rsidP="007C725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17" w:type="pct"/>
            <w:shd w:val="clear" w:color="auto" w:fill="auto"/>
          </w:tcPr>
          <w:p w14:paraId="4F3BC5A7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14:paraId="431A897C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pct"/>
            <w:shd w:val="clear" w:color="auto" w:fill="auto"/>
          </w:tcPr>
          <w:p w14:paraId="6C193083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0" w:type="pct"/>
            <w:shd w:val="clear" w:color="auto" w:fill="auto"/>
          </w:tcPr>
          <w:p w14:paraId="1D6702F5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1328" w:rsidRPr="0082261A" w14:paraId="58EA03AE" w14:textId="77777777" w:rsidTr="007C725A">
        <w:trPr>
          <w:trHeight w:val="262"/>
        </w:trPr>
        <w:tc>
          <w:tcPr>
            <w:tcW w:w="214" w:type="pct"/>
            <w:shd w:val="clear" w:color="auto" w:fill="auto"/>
            <w:vAlign w:val="center"/>
          </w:tcPr>
          <w:p w14:paraId="76E65DC7" w14:textId="77777777" w:rsidR="00491328" w:rsidRPr="0054587F" w:rsidRDefault="00491328" w:rsidP="007C725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17" w:type="pct"/>
            <w:shd w:val="clear" w:color="auto" w:fill="auto"/>
          </w:tcPr>
          <w:p w14:paraId="7EA88E4E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14:paraId="23683FA6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pct"/>
            <w:shd w:val="clear" w:color="auto" w:fill="auto"/>
          </w:tcPr>
          <w:p w14:paraId="715E79C6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0" w:type="pct"/>
            <w:shd w:val="clear" w:color="auto" w:fill="auto"/>
          </w:tcPr>
          <w:p w14:paraId="5072A328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1328" w:rsidRPr="0082261A" w14:paraId="36E1A06E" w14:textId="77777777" w:rsidTr="007C725A">
        <w:trPr>
          <w:trHeight w:val="262"/>
        </w:trPr>
        <w:tc>
          <w:tcPr>
            <w:tcW w:w="214" w:type="pct"/>
            <w:shd w:val="clear" w:color="auto" w:fill="auto"/>
            <w:vAlign w:val="center"/>
          </w:tcPr>
          <w:p w14:paraId="249C155C" w14:textId="77777777" w:rsidR="00491328" w:rsidRPr="0054587F" w:rsidRDefault="00491328" w:rsidP="007C725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17" w:type="pct"/>
            <w:shd w:val="clear" w:color="auto" w:fill="auto"/>
          </w:tcPr>
          <w:p w14:paraId="12EC3A86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14:paraId="0B8DE0D4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pct"/>
            <w:shd w:val="clear" w:color="auto" w:fill="auto"/>
          </w:tcPr>
          <w:p w14:paraId="5CF6D6B1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0" w:type="pct"/>
            <w:shd w:val="clear" w:color="auto" w:fill="auto"/>
          </w:tcPr>
          <w:p w14:paraId="04972E8E" w14:textId="77777777" w:rsidR="00491328" w:rsidRPr="0054587F" w:rsidRDefault="00491328" w:rsidP="007C72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21BD1D0" w14:textId="3A42AC5B" w:rsidR="008208AC" w:rsidRPr="00404F27" w:rsidRDefault="008208AC" w:rsidP="00404F27">
      <w:pPr>
        <w:spacing w:before="240" w:after="120" w:line="240" w:lineRule="auto"/>
        <w:ind w:right="516"/>
        <w:jc w:val="both"/>
        <w:rPr>
          <w:rFonts w:ascii="Arial" w:hAnsi="Arial" w:cs="Arial"/>
        </w:rPr>
      </w:pPr>
    </w:p>
    <w:p w14:paraId="2ADAEB0A" w14:textId="2B779927" w:rsidR="008208AC" w:rsidRDefault="008208AC" w:rsidP="008208AC">
      <w:pPr>
        <w:pStyle w:val="Akapitzlist"/>
        <w:spacing w:before="240" w:after="120" w:line="240" w:lineRule="auto"/>
        <w:ind w:left="714" w:right="516"/>
        <w:jc w:val="both"/>
        <w:rPr>
          <w:rFonts w:ascii="Arial" w:hAnsi="Arial" w:cs="Arial"/>
        </w:rPr>
      </w:pPr>
    </w:p>
    <w:p w14:paraId="263B41B0" w14:textId="77777777" w:rsidR="008208AC" w:rsidRPr="008208AC" w:rsidRDefault="008208AC" w:rsidP="008208AC">
      <w:pPr>
        <w:pStyle w:val="Akapitzlist"/>
        <w:spacing w:before="240" w:after="120" w:line="240" w:lineRule="auto"/>
        <w:ind w:left="714" w:right="516"/>
        <w:jc w:val="both"/>
        <w:rPr>
          <w:rFonts w:ascii="Arial" w:hAnsi="Arial" w:cs="Arial"/>
        </w:rPr>
      </w:pPr>
    </w:p>
    <w:p w14:paraId="65776E82" w14:textId="77777777" w:rsidR="008208AC" w:rsidRDefault="008208AC" w:rsidP="008208AC">
      <w:pPr>
        <w:pStyle w:val="Akapitzlist"/>
        <w:spacing w:before="240" w:after="120" w:line="240" w:lineRule="auto"/>
        <w:ind w:left="714" w:right="516"/>
        <w:jc w:val="both"/>
        <w:rPr>
          <w:rFonts w:ascii="Arial" w:hAnsi="Arial" w:cs="Arial"/>
        </w:rPr>
      </w:pPr>
    </w:p>
    <w:p w14:paraId="45CEB50A" w14:textId="26B995C6" w:rsidR="008208AC" w:rsidRDefault="00C32B21" w:rsidP="00404F27">
      <w:pPr>
        <w:pStyle w:val="Akapitzlist"/>
        <w:numPr>
          <w:ilvl w:val="0"/>
          <w:numId w:val="3"/>
        </w:numPr>
        <w:spacing w:before="240" w:after="0" w:line="240" w:lineRule="auto"/>
        <w:ind w:right="514"/>
        <w:jc w:val="both"/>
        <w:rPr>
          <w:rFonts w:ascii="Arial" w:hAnsi="Arial" w:cs="Arial"/>
        </w:rPr>
      </w:pPr>
      <w:r w:rsidRPr="00404F27">
        <w:rPr>
          <w:rFonts w:ascii="Arial" w:hAnsi="Arial" w:cs="Arial"/>
        </w:rPr>
        <w:t>Konsultacje społeczne dokumentu trwają od 2</w:t>
      </w:r>
      <w:r w:rsidR="00F16C93">
        <w:rPr>
          <w:rFonts w:ascii="Arial" w:hAnsi="Arial" w:cs="Arial"/>
        </w:rPr>
        <w:t>7</w:t>
      </w:r>
      <w:r w:rsidRPr="00404F27">
        <w:rPr>
          <w:rFonts w:ascii="Arial" w:hAnsi="Arial" w:cs="Arial"/>
        </w:rPr>
        <w:t xml:space="preserve"> </w:t>
      </w:r>
      <w:r w:rsidR="008208AC" w:rsidRPr="00404F27">
        <w:rPr>
          <w:rFonts w:ascii="Arial" w:hAnsi="Arial" w:cs="Arial"/>
        </w:rPr>
        <w:t>września</w:t>
      </w:r>
      <w:r w:rsidR="00F16C93">
        <w:rPr>
          <w:rFonts w:ascii="Arial" w:hAnsi="Arial" w:cs="Arial"/>
        </w:rPr>
        <w:t xml:space="preserve"> 2022 r. do 26</w:t>
      </w:r>
      <w:r w:rsidRPr="00404F27">
        <w:rPr>
          <w:rFonts w:ascii="Arial" w:hAnsi="Arial" w:cs="Arial"/>
        </w:rPr>
        <w:t xml:space="preserve"> </w:t>
      </w:r>
      <w:r w:rsidR="008208AC" w:rsidRPr="00404F27">
        <w:rPr>
          <w:rFonts w:ascii="Arial" w:hAnsi="Arial" w:cs="Arial"/>
        </w:rPr>
        <w:t>października</w:t>
      </w:r>
      <w:r w:rsidRPr="00404F27">
        <w:rPr>
          <w:rFonts w:ascii="Arial" w:hAnsi="Arial" w:cs="Arial"/>
        </w:rPr>
        <w:t xml:space="preserve"> 2022 r. Opinie dotyczące projektu </w:t>
      </w:r>
      <w:r w:rsidR="008208AC" w:rsidRPr="00404F27">
        <w:rPr>
          <w:rFonts w:ascii="Arial" w:hAnsi="Arial" w:cs="Arial"/>
        </w:rPr>
        <w:t xml:space="preserve">SUMP LOM </w:t>
      </w:r>
      <w:r w:rsidRPr="00404F27">
        <w:rPr>
          <w:rFonts w:ascii="Arial" w:hAnsi="Arial" w:cs="Arial"/>
        </w:rPr>
        <w:t>można przekazać na spotkani</w:t>
      </w:r>
      <w:r w:rsidR="008208AC" w:rsidRPr="00404F27">
        <w:rPr>
          <w:rFonts w:ascii="Arial" w:hAnsi="Arial" w:cs="Arial"/>
        </w:rPr>
        <w:t>u</w:t>
      </w:r>
      <w:r w:rsidRPr="00404F27">
        <w:rPr>
          <w:rFonts w:ascii="Arial" w:hAnsi="Arial" w:cs="Arial"/>
        </w:rPr>
        <w:t xml:space="preserve"> konsultacyjny</w:t>
      </w:r>
      <w:r w:rsidR="008208AC" w:rsidRPr="00404F27">
        <w:rPr>
          <w:rFonts w:ascii="Arial" w:hAnsi="Arial" w:cs="Arial"/>
        </w:rPr>
        <w:t xml:space="preserve">m lub poprzez wypełnienie formularza (online lub </w:t>
      </w:r>
      <w:r w:rsidR="00404F27">
        <w:rPr>
          <w:rFonts w:ascii="Arial" w:hAnsi="Arial" w:cs="Arial"/>
        </w:rPr>
        <w:t>powyższego</w:t>
      </w:r>
      <w:r w:rsidR="00404F27" w:rsidRPr="00404F27">
        <w:rPr>
          <w:rFonts w:ascii="Arial" w:hAnsi="Arial" w:cs="Arial"/>
        </w:rPr>
        <w:t>).</w:t>
      </w:r>
    </w:p>
    <w:p w14:paraId="33FFDA51" w14:textId="0B6A38BC" w:rsidR="00404F27" w:rsidRPr="00404F27" w:rsidRDefault="00404F27" w:rsidP="00404F27">
      <w:pPr>
        <w:pStyle w:val="Akapitzlist"/>
        <w:numPr>
          <w:ilvl w:val="0"/>
          <w:numId w:val="3"/>
        </w:numPr>
        <w:spacing w:before="240" w:after="0" w:line="240" w:lineRule="auto"/>
        <w:ind w:right="514"/>
        <w:jc w:val="both"/>
        <w:rPr>
          <w:rStyle w:val="Hipercze"/>
          <w:rFonts w:ascii="Arial" w:hAnsi="Arial" w:cs="Arial"/>
          <w:color w:val="auto"/>
          <w:u w:val="none"/>
        </w:rPr>
      </w:pPr>
      <w:r w:rsidRPr="00404F27">
        <w:rPr>
          <w:rFonts w:ascii="Arial" w:hAnsi="Arial" w:cs="Arial"/>
        </w:rPr>
        <w:t xml:space="preserve">Po wypełnieniu formularza w wersji edytowalnej należy go przesłać </w:t>
      </w:r>
      <w:r w:rsidR="00E86823" w:rsidRPr="00404F27">
        <w:rPr>
          <w:rFonts w:ascii="Arial" w:hAnsi="Arial" w:cs="Arial"/>
        </w:rPr>
        <w:t xml:space="preserve">na adres mailowy </w:t>
      </w:r>
      <w:hyperlink r:id="rId10" w:history="1">
        <w:r w:rsidR="00E86823" w:rsidRPr="00404F27">
          <w:rPr>
            <w:rStyle w:val="Hipercze"/>
            <w:rFonts w:ascii="Arial" w:hAnsi="Arial" w:cs="Arial"/>
          </w:rPr>
          <w:t>zit@lublin.eu</w:t>
        </w:r>
      </w:hyperlink>
    </w:p>
    <w:p w14:paraId="79298B53" w14:textId="3ECF21BA" w:rsidR="007C725A" w:rsidRDefault="007C725A" w:rsidP="00404F27">
      <w:pPr>
        <w:pStyle w:val="Akapitzlist"/>
        <w:numPr>
          <w:ilvl w:val="0"/>
          <w:numId w:val="3"/>
        </w:numPr>
        <w:spacing w:before="240" w:after="0" w:line="240" w:lineRule="auto"/>
        <w:ind w:right="514"/>
        <w:jc w:val="both"/>
        <w:rPr>
          <w:rFonts w:ascii="Arial" w:hAnsi="Arial" w:cs="Arial"/>
        </w:rPr>
      </w:pPr>
      <w:r w:rsidRPr="00404F27">
        <w:rPr>
          <w:rFonts w:ascii="Arial" w:hAnsi="Arial" w:cs="Arial"/>
        </w:rPr>
        <w:t>Nie dopuszcza się możliwości modyfikacji formularza.</w:t>
      </w:r>
    </w:p>
    <w:p w14:paraId="1E5CE831" w14:textId="726C567A" w:rsidR="00404F27" w:rsidRPr="00404F27" w:rsidRDefault="00404F27" w:rsidP="00404F27">
      <w:pPr>
        <w:pStyle w:val="Akapitzlist"/>
        <w:numPr>
          <w:ilvl w:val="0"/>
          <w:numId w:val="3"/>
        </w:numPr>
        <w:spacing w:before="240" w:after="0" w:line="240" w:lineRule="auto"/>
        <w:ind w:right="514"/>
        <w:jc w:val="both"/>
        <w:rPr>
          <w:rFonts w:ascii="Arial" w:hAnsi="Arial" w:cs="Arial"/>
        </w:rPr>
      </w:pPr>
      <w:r w:rsidRPr="00404F27">
        <w:rPr>
          <w:rFonts w:ascii="Arial" w:hAnsi="Arial" w:cs="Arial"/>
        </w:rPr>
        <w:t>Otwarte spotkanie konsultacyjne odbędzie się 5 października o godz. 13:30 w Urzędzie Miasta Lublina</w:t>
      </w:r>
      <w:r w:rsidR="00F16C93">
        <w:rPr>
          <w:rFonts w:ascii="Arial" w:hAnsi="Arial" w:cs="Arial"/>
        </w:rPr>
        <w:t>, ul. Spokojna 2</w:t>
      </w:r>
      <w:r w:rsidRPr="00404F27">
        <w:rPr>
          <w:rFonts w:ascii="Arial" w:hAnsi="Arial" w:cs="Arial"/>
        </w:rPr>
        <w:t xml:space="preserve"> w Sali 252.</w:t>
      </w:r>
    </w:p>
    <w:sectPr w:rsidR="00404F27" w:rsidRPr="00404F27" w:rsidSect="00491328">
      <w:headerReference w:type="default" r:id="rId11"/>
      <w:footerReference w:type="default" r:id="rId12"/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C3C4" w14:textId="77777777" w:rsidR="002652A6" w:rsidRDefault="002652A6" w:rsidP="00AD2084">
      <w:pPr>
        <w:spacing w:after="0" w:line="240" w:lineRule="auto"/>
      </w:pPr>
      <w:r>
        <w:separator/>
      </w:r>
    </w:p>
  </w:endnote>
  <w:endnote w:type="continuationSeparator" w:id="0">
    <w:p w14:paraId="349226C5" w14:textId="77777777" w:rsidR="002652A6" w:rsidRDefault="002652A6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50F3" w14:textId="27BC49C5" w:rsidR="00C32B21" w:rsidRDefault="00C32B21" w:rsidP="00C32B2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D66C5D5" wp14:editId="6AC07037">
          <wp:extent cx="5760720" cy="6127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 LOM POPT FS - do uniwersalnego zastosowa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3E5A" w14:textId="77777777" w:rsidR="002652A6" w:rsidRDefault="002652A6" w:rsidP="00AD2084">
      <w:pPr>
        <w:spacing w:after="0" w:line="240" w:lineRule="auto"/>
      </w:pPr>
      <w:r>
        <w:separator/>
      </w:r>
    </w:p>
  </w:footnote>
  <w:footnote w:type="continuationSeparator" w:id="0">
    <w:p w14:paraId="0D3ABBAC" w14:textId="77777777" w:rsidR="002652A6" w:rsidRDefault="002652A6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DFC5" w14:textId="2A0CB1DC" w:rsidR="00026022" w:rsidRDefault="000260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101026" wp14:editId="7CF576D9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10687050" cy="6159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088"/>
    <w:multiLevelType w:val="hybridMultilevel"/>
    <w:tmpl w:val="9822C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72C1A"/>
    <w:multiLevelType w:val="hybridMultilevel"/>
    <w:tmpl w:val="186059E8"/>
    <w:lvl w:ilvl="0" w:tplc="801069A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1941951">
    <w:abstractNumId w:val="3"/>
  </w:num>
  <w:num w:numId="2" w16cid:durableId="1797605675">
    <w:abstractNumId w:val="0"/>
  </w:num>
  <w:num w:numId="3" w16cid:durableId="1653559150">
    <w:abstractNumId w:val="2"/>
  </w:num>
  <w:num w:numId="4" w16cid:durableId="11626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0B"/>
    <w:rsid w:val="0000029D"/>
    <w:rsid w:val="00026022"/>
    <w:rsid w:val="000E6577"/>
    <w:rsid w:val="00116012"/>
    <w:rsid w:val="00141FFF"/>
    <w:rsid w:val="001B3E83"/>
    <w:rsid w:val="0020320E"/>
    <w:rsid w:val="0023437E"/>
    <w:rsid w:val="002652A6"/>
    <w:rsid w:val="003C23DF"/>
    <w:rsid w:val="00404F27"/>
    <w:rsid w:val="004318A9"/>
    <w:rsid w:val="0044605E"/>
    <w:rsid w:val="004625B2"/>
    <w:rsid w:val="00480C0B"/>
    <w:rsid w:val="00491328"/>
    <w:rsid w:val="0049738F"/>
    <w:rsid w:val="00516BF4"/>
    <w:rsid w:val="0057564D"/>
    <w:rsid w:val="00614433"/>
    <w:rsid w:val="006C5033"/>
    <w:rsid w:val="006F492E"/>
    <w:rsid w:val="007A53F2"/>
    <w:rsid w:val="007C725A"/>
    <w:rsid w:val="00810F73"/>
    <w:rsid w:val="008208AC"/>
    <w:rsid w:val="00862ECF"/>
    <w:rsid w:val="00894343"/>
    <w:rsid w:val="008B5C88"/>
    <w:rsid w:val="009F70BC"/>
    <w:rsid w:val="00AD2084"/>
    <w:rsid w:val="00B14008"/>
    <w:rsid w:val="00B14B1A"/>
    <w:rsid w:val="00B81F94"/>
    <w:rsid w:val="00BA66CA"/>
    <w:rsid w:val="00BC1F25"/>
    <w:rsid w:val="00C16D27"/>
    <w:rsid w:val="00C32B21"/>
    <w:rsid w:val="00CF6BCE"/>
    <w:rsid w:val="00D33A1C"/>
    <w:rsid w:val="00D51C86"/>
    <w:rsid w:val="00DD5BE9"/>
    <w:rsid w:val="00DE374A"/>
    <w:rsid w:val="00E149FA"/>
    <w:rsid w:val="00E86823"/>
    <w:rsid w:val="00F10F5A"/>
    <w:rsid w:val="00F16C93"/>
    <w:rsid w:val="00F269BB"/>
    <w:rsid w:val="00F45263"/>
    <w:rsid w:val="00F470EA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91328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2602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8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@lublin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it@lublin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czta.lublin.eu/zit.lublin.eu/sum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6D7FC-3B87-47AE-B22A-C31F513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DELL-OP-09-02</cp:lastModifiedBy>
  <cp:revision>2</cp:revision>
  <dcterms:created xsi:type="dcterms:W3CDTF">2022-10-03T07:09:00Z</dcterms:created>
  <dcterms:modified xsi:type="dcterms:W3CDTF">2022-10-03T07:09:00Z</dcterms:modified>
</cp:coreProperties>
</file>