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E75" w:rsidRDefault="00AA2858">
      <w:pPr>
        <w:widowControl/>
        <w:numPr>
          <w:ilvl w:val="0"/>
          <w:numId w:val="1"/>
        </w:numPr>
        <w:spacing w:line="480" w:lineRule="auto"/>
        <w:rPr>
          <w:rFonts w:eastAsia="Georgia" w:cs="Georgia"/>
          <w:color w:val="000000"/>
          <w:sz w:val="26"/>
          <w:szCs w:val="26"/>
        </w:rPr>
      </w:pPr>
      <w:bookmarkStart w:id="0" w:name="_GoBack"/>
      <w:bookmarkEnd w:id="0"/>
      <w:r>
        <w:rPr>
          <w:noProof/>
        </w:rPr>
        <mc:AlternateContent>
          <mc:Choice Requires="wps">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6152515" cy="525145"/>
                <wp:effectExtent l="0" t="0" r="635"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75" w:rsidRDefault="001436DB">
                            <w:pPr>
                              <w:pStyle w:val="Tekstpodstawowy"/>
                              <w:widowControl/>
                              <w:spacing w:after="0" w:line="480" w:lineRule="auto"/>
                              <w:ind w:left="-297"/>
                            </w:pP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4.45pt;height:41.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" stroked="f">
                <v:textbox inset="0,0,0,0">
                  <w:txbxContent>
                    <w:p w:rsidR="00FA0E75" w:rsidRDefault="001436DB">
                      <w:pPr>
                        <w:pStyle w:val="Tekstpodstawowy"/>
                        <w:widowControl/>
                        <w:spacing w:after="0" w:line="480" w:lineRule="auto"/>
                        <w:ind w:left="-297"/>
                      </w:pPr>
                      <w:r>
                        <w:br/>
                      </w:r>
                    </w:p>
                  </w:txbxContent>
                </v:textbox>
                <w10:wrap type="square" side="right"/>
              </v:shape>
            </w:pict>
          </mc:Fallback>
        </mc:AlternateContent>
      </w:r>
      <w:r w:rsidR="001436DB">
        <w:rPr>
          <w:rFonts w:eastAsia="Georgia" w:cs="Georgia"/>
          <w:b/>
          <w:bCs/>
          <w:color w:val="000000"/>
          <w:sz w:val="26"/>
          <w:szCs w:val="26"/>
        </w:rPr>
        <w:t>Czy mogę wykorzystąać  Bon Turystyczny w 2021 r.? Nie udało mi się skorzystać z Bonu Turystycznego w 2020  r, czy w wakacje w 2021 roku ten bon będzie jeszcze ważny?</w:t>
      </w:r>
    </w:p>
    <w:p w:rsidR="00FA0E75" w:rsidRDefault="001436DB">
      <w:pPr>
        <w:widowControl/>
        <w:spacing w:line="480" w:lineRule="auto"/>
        <w:jc w:val="both"/>
        <w:rPr>
          <w:color w:val="000000"/>
        </w:rPr>
      </w:pPr>
      <w:r>
        <w:rPr>
          <w:rFonts w:eastAsia="Georgia" w:cs="Georgia"/>
          <w:color w:val="000000"/>
          <w:sz w:val="26"/>
          <w:szCs w:val="26"/>
        </w:rPr>
        <w:t xml:space="preserve">Na wstępipe należy wyjaśnić, iż wszyscy, którzy mają już prawo do świadczenia wychowawczego albo nabędą je do końca 2021 r., wciąż mogą wystąpić o bon turystyczny. Zapewne wykorzystają te bony  po  ponownym otwarciu gospodarki. Polski Bon Turystyczny wynosi jednorazowo 500 zł na każde dziecko do 18. roku życia oraz jedno dodatkowe świadczenie dla dzieci z orzeczeniem o niepełnosprawności – w sumie 1000 zł.  </w:t>
      </w:r>
      <w:r>
        <w:rPr>
          <w:color w:val="000000"/>
          <w:sz w:val="26"/>
          <w:szCs w:val="26"/>
        </w:rPr>
        <w:t>Można nim zapłacić za usługi hotelarskie lub imprezy turystyczne realizowane przez przedsiębiorcę turystycznego lub organizację pożytku publicznego na terytorium kraju. Świadczenie ma formę elektronicznego bonu, ważnego aż do końca marca 2022 r.  Zatem przez cały rok 2021 będzie można ten bon wykorzystać. W obecnej sytuacji, gdy prawie cała gospodarka jest zamknięta, skorzystanie z bonu jest oczywiście niemożliwe, ale kiedy ograniczenia zostaną zniesione, można będzie go wykorzystać do opłacenia m.in.: pobytu w hotelu, pensjonacie, gospodarstwie agroturystycznym czy na kolonii lub obozie harcerskim, a także obozie sportowym lub rekreacyjnym.</w:t>
      </w:r>
    </w:p>
    <w:p w:rsidR="00FA0E75" w:rsidRDefault="001436DB">
      <w:pPr>
        <w:pStyle w:val="Tekstpodstawowy"/>
        <w:widowControl/>
        <w:spacing w:line="480" w:lineRule="auto"/>
        <w:jc w:val="both"/>
        <w:rPr>
          <w:b/>
          <w:bCs/>
          <w:color w:val="000000"/>
        </w:rPr>
      </w:pPr>
      <w:r>
        <w:rPr>
          <w:color w:val="000000"/>
        </w:rPr>
        <w:t>Warto również zaznaczyć, iż poprzez ostatnią nowelizację ustawy o Polskim Bonie Turystycznym świadczenie będzie mogło służyć również do opłacania jednodniowych wycieczek wraz z wszelkimi atrakcjami przewidzianymi przez organizatorów. Bony przysługują niezależnie od poziomu dochodów, tak jak 500+. Katalog bazy turystycznej, która pozwala na skorzystanie z bonu, jest dostępny na stronie https://bonturystyczny.polska.travel/lista-podmiotow.</w:t>
      </w:r>
    </w:p>
    <w:p w:rsidR="00FA0E75" w:rsidRDefault="001436DB">
      <w:pPr>
        <w:widowControl/>
        <w:spacing w:line="480" w:lineRule="auto"/>
        <w:jc w:val="both"/>
        <w:rPr>
          <w:b/>
          <w:bCs/>
          <w:color w:val="000000"/>
        </w:rPr>
      </w:pPr>
      <w:r>
        <w:rPr>
          <w:b/>
          <w:bCs/>
          <w:color w:val="000000"/>
        </w:rPr>
        <w:lastRenderedPageBreak/>
        <w:t>2) Czy świadczenie 500 plus może być wypłacone w mniejszej wysokości ? Ostatnio moja przyjaciółka nie otrzymała  tego świadczenia w wysokości 500  zł. Czy jest to zgodne z aktualnymi przepisami prawnymi?</w:t>
      </w:r>
    </w:p>
    <w:p w:rsidR="00FA0E75" w:rsidRDefault="00FA0E75">
      <w:pPr>
        <w:widowControl/>
        <w:spacing w:line="480" w:lineRule="auto"/>
        <w:jc w:val="both"/>
        <w:rPr>
          <w:b/>
          <w:bCs/>
          <w:color w:val="000000"/>
        </w:rPr>
      </w:pPr>
    </w:p>
    <w:p w:rsidR="00FA0E75" w:rsidRDefault="001436DB">
      <w:pPr>
        <w:widowControl/>
        <w:spacing w:line="480" w:lineRule="auto"/>
        <w:jc w:val="both"/>
      </w:pPr>
      <w:r>
        <w:rPr>
          <w:bCs/>
          <w:color w:val="000000"/>
        </w:rPr>
        <w:t>Należy podkreślić , iż świadczenie wychowawcze, potocznie zwane 500 plus,  wynosi 500 zł miesięcznie na jedno dziecko. Zdarze się, iż w wyjątkowych sytuacjach może być jednak wypłacone w innej wysokości.</w:t>
      </w:r>
      <w:r>
        <w:rPr>
          <w:color w:val="000000"/>
        </w:rPr>
        <w:t>Nie zawsze będzie tak, iż  na konto rodziców trafi 500 zł. Niższej kwoty trzeba się spodziewać, gdy na przykład świadczenie przysługuje za niepełny miesiąc w  związku z urodzeniem się dziecka. Wówczas kwotę wsparcia dzieli się przez liczbę dni w miesiącu, a następnie mnoży przez liczbę dni, za które przysługuje świadczenie. Przykładowo, gdy dziecko urodzi się 12 listopada, rodzicom zostanie wypłacone 316,70 zł. Kwotę świadczenia zaokrągla się do 10 gr w górę. Świadczenie  500 plus będzie też niższe, jeśli w trakcie miesiąca dziecko osiągnie pełnoletność. Jeśli np. skończy 18 lat 11 grudnia, to świadczenie za ten miesiąc wyniesie 161,30 zł. Za dzień, w którym dziecko obchodzi urodziny, świadczenie nie przysługuje.  Zatem  w każdym wypadku , gdy rodzic otrzyma niższe świadczenie wychowawcze za dany miesiąc powinno się indywidualnie rozpatrzyć daną sprawę.</w:t>
      </w:r>
    </w:p>
    <w:p w:rsidR="00FA0E75" w:rsidRDefault="00FA0E75">
      <w:pPr>
        <w:widowControl/>
        <w:spacing w:line="480" w:lineRule="auto"/>
        <w:jc w:val="both"/>
      </w:pPr>
    </w:p>
    <w:p w:rsidR="00FA0E75" w:rsidRDefault="001436DB">
      <w:pPr>
        <w:widowControl/>
        <w:numPr>
          <w:ilvl w:val="2"/>
          <w:numId w:val="2"/>
        </w:numPr>
        <w:spacing w:line="480" w:lineRule="auto"/>
        <w:jc w:val="both"/>
        <w:rPr>
          <w:b/>
          <w:bCs/>
          <w:color w:val="000000"/>
        </w:rPr>
      </w:pPr>
      <w:r>
        <w:rPr>
          <w:b/>
          <w:bCs/>
          <w:color w:val="000000"/>
        </w:rPr>
        <w:t>Czy można otrzymać mandat  od straży miejskiej za spalanie  odpadów w domowym piecu?</w:t>
      </w:r>
    </w:p>
    <w:p w:rsidR="00FA0E75" w:rsidRDefault="001436DB">
      <w:pPr>
        <w:widowControl/>
        <w:spacing w:line="480" w:lineRule="auto"/>
        <w:ind w:left="-198"/>
        <w:jc w:val="both"/>
        <w:rPr>
          <w:rFonts w:eastAsia="Georgia" w:cs="Georgia"/>
          <w:b/>
          <w:bCs/>
          <w:color w:val="000000"/>
        </w:rPr>
      </w:pPr>
      <w:r>
        <w:rPr>
          <w:b/>
          <w:bCs/>
          <w:color w:val="000000"/>
        </w:rPr>
        <w:t xml:space="preserve">     </w:t>
      </w:r>
      <w:r>
        <w:rPr>
          <w:color w:val="000000"/>
        </w:rPr>
        <w:t xml:space="preserve">Tak, straż miejska ma uprawnienie do nałożenia  mandatu za spalanie odpadów w domowym piecu </w:t>
      </w:r>
      <w:r>
        <w:rPr>
          <w:color w:val="000000"/>
        </w:rPr>
        <w:tab/>
        <w:t xml:space="preserve"> Na szczęście z roku na rok zjawisko spalania śmieci zmniejsza się, co wiąże się ze wzrostem </w:t>
      </w:r>
      <w:r>
        <w:rPr>
          <w:color w:val="000000"/>
        </w:rPr>
        <w:tab/>
        <w:t xml:space="preserve">świadomości społecznej.  Działania straży miejskiej mają charakter nie tylko kontrolny, ale też  </w:t>
      </w:r>
      <w:r>
        <w:rPr>
          <w:color w:val="000000"/>
        </w:rPr>
        <w:tab/>
        <w:t xml:space="preserve">profilaktyczny. Straż miejska  często informuje mieszkańców o prawidłowych sposobach palenia </w:t>
      </w:r>
      <w:r>
        <w:rPr>
          <w:color w:val="000000"/>
        </w:rPr>
        <w:tab/>
        <w:t xml:space="preserve">w piecu.  Nalezy jednak zaznaczyć, iż spalanie odpadów w domu to nie oszczędność, ale skutkuje </w:t>
      </w:r>
      <w:r>
        <w:rPr>
          <w:color w:val="000000"/>
        </w:rPr>
        <w:tab/>
        <w:t xml:space="preserve">także uszczerbkiem zdrowia i portfelu. Osobie przyłapanej na paleniu w piecu śmieci grozi mandat </w:t>
      </w:r>
      <w:r>
        <w:rPr>
          <w:color w:val="000000"/>
        </w:rPr>
        <w:tab/>
        <w:t xml:space="preserve">do 500 zł. Jeśli natomiast sprawa trafi do sądu – ten może orzec grzywnę do 5 tysięcy złotych. </w:t>
      </w:r>
    </w:p>
    <w:p w:rsidR="00FA0E75" w:rsidRDefault="001436DB">
      <w:pPr>
        <w:widowControl/>
        <w:spacing w:line="480" w:lineRule="auto"/>
        <w:jc w:val="both"/>
        <w:rPr>
          <w:rFonts w:eastAsia="Georgia" w:cs="Georgia"/>
          <w:b/>
          <w:bCs/>
          <w:color w:val="000000"/>
        </w:rPr>
      </w:pPr>
      <w:r>
        <w:rPr>
          <w:rFonts w:eastAsia="Georgia" w:cs="Georgia"/>
          <w:b/>
          <w:bCs/>
          <w:color w:val="000000"/>
        </w:rPr>
        <w:lastRenderedPageBreak/>
        <w:tab/>
      </w:r>
    </w:p>
    <w:p w:rsidR="00FA0E75" w:rsidRDefault="001436DB">
      <w:pPr>
        <w:widowControl/>
        <w:numPr>
          <w:ilvl w:val="2"/>
          <w:numId w:val="3"/>
        </w:numPr>
        <w:spacing w:line="480" w:lineRule="auto"/>
        <w:jc w:val="both"/>
        <w:rPr>
          <w:b/>
          <w:bCs/>
          <w:color w:val="000000"/>
        </w:rPr>
      </w:pPr>
      <w:r>
        <w:rPr>
          <w:rFonts w:eastAsia="Georgia" w:cs="Georgia"/>
          <w:b/>
          <w:bCs/>
          <w:color w:val="000000"/>
        </w:rPr>
        <w:t>Ostatnio w mojej rodzinie doszło do dość nieprzyjemnej sytuacji, gdyż nastąpiło przejęcie grobu, do którego od dawna prawa posiada moja babcia. Czy jest to zgodne z prawem?</w:t>
      </w:r>
    </w:p>
    <w:p w:rsidR="00FA0E75" w:rsidRDefault="00FA0E75">
      <w:pPr>
        <w:widowControl/>
        <w:spacing w:line="480" w:lineRule="auto"/>
        <w:jc w:val="both"/>
        <w:rPr>
          <w:b/>
          <w:bCs/>
          <w:color w:val="000000"/>
        </w:rPr>
      </w:pPr>
    </w:p>
    <w:p w:rsidR="00FA0E75" w:rsidRDefault="001436DB">
      <w:pPr>
        <w:widowControl/>
        <w:spacing w:line="480" w:lineRule="auto"/>
        <w:jc w:val="both"/>
        <w:rPr>
          <w:rFonts w:eastAsia="Georgia" w:cs="Georgia"/>
          <w:color w:val="000000"/>
        </w:rPr>
      </w:pPr>
      <w:r>
        <w:rPr>
          <w:rFonts w:ascii="Helvetica Neue" w:eastAsia="Georgia" w:hAnsi="Helvetica Neue" w:cs="Georgia"/>
          <w:bCs/>
          <w:color w:val="222222"/>
          <w:sz w:val="20"/>
        </w:rPr>
        <w:tab/>
      </w:r>
      <w:r>
        <w:rPr>
          <w:rFonts w:eastAsia="Georgia" w:cs="Georgia"/>
          <w:bCs/>
          <w:color w:val="222222"/>
        </w:rPr>
        <w:t xml:space="preserve">Na wstępie należy przypomnieć, iż </w:t>
      </w:r>
      <w:r>
        <w:rPr>
          <w:rFonts w:ascii="Helvetica Neue" w:eastAsia="Georgia" w:hAnsi="Helvetica Neue" w:cs="Georgia"/>
          <w:bCs/>
          <w:color w:val="222222"/>
          <w:sz w:val="20"/>
        </w:rPr>
        <w:t>p</w:t>
      </w:r>
      <w:r>
        <w:rPr>
          <w:rFonts w:eastAsia="Georgia" w:cs="Georgia"/>
          <w:bCs/>
          <w:color w:val="000000"/>
        </w:rPr>
        <w:t>rawa do grobu są to samoistne prawa majątkowe niezbywalne i niedziedziczne. Oznacza to, że miejsce przeznaczone na pochówek należy do osoby, która dane miejsce wykupiła. Z chwilą śmierci uprawnionego do tego miejsca, możliwość rozporządzania prawem do grobu wygasa. Bardzo ważne jest, iżp rawo do grobu nie podlega dziedziczeniu</w:t>
      </w:r>
      <w:r>
        <w:rPr>
          <w:rFonts w:eastAsia="Georgia" w:cs="Georgia"/>
          <w:b/>
          <w:bCs/>
          <w:color w:val="000000"/>
        </w:rPr>
        <w:t>,</w:t>
      </w:r>
      <w:r>
        <w:rPr>
          <w:rFonts w:eastAsia="Georgia" w:cs="Georgia"/>
          <w:bCs/>
          <w:color w:val="000000"/>
        </w:rPr>
        <w:t xml:space="preserve"> a najbliższa pozostała rodzina ma jedynie prawo do pochówku osoby uprawnionej, nie może natomiast rościć sobie żadnych praw związanych z późniejszym rozporządzaniem danym grobem.</w:t>
      </w:r>
      <w:r>
        <w:rPr>
          <w:rFonts w:eastAsia="Georgia" w:cs="Georgia"/>
          <w:b/>
          <w:bCs/>
          <w:color w:val="000000"/>
        </w:rPr>
        <w:t xml:space="preserve"> </w:t>
      </w:r>
      <w:r>
        <w:rPr>
          <w:rFonts w:eastAsia="Georgia" w:cs="Georgia"/>
          <w:color w:val="000000"/>
        </w:rPr>
        <w:t>Warto zaznaczyć, iż  zgodnie z art. 10 § 1 pkt. 1 ustawy o cmentarzach i chowaniu (Dz.U.2011 Nr 118 Poz. 687) zmarłych prawo do pochówku zwłok osoby zmarłej mają: pozostały małżonek(ka), </w:t>
      </w:r>
      <w:r>
        <w:rPr>
          <w:rStyle w:val="Pogrubienie"/>
          <w:rFonts w:eastAsia="Georgia" w:cs="Georgia"/>
          <w:b w:val="0"/>
          <w:bCs w:val="0"/>
          <w:color w:val="000000"/>
        </w:rPr>
        <w:t>krewni zstępni</w:t>
      </w:r>
      <w:r>
        <w:rPr>
          <w:rFonts w:eastAsia="Georgia" w:cs="Georgia"/>
          <w:color w:val="000000"/>
        </w:rPr>
        <w:t> (dzieci, wnuki), krewni wstępni (rodzice, dziadkowie), krewni boczni do 4 stopnia pokrewieństwa (np. rodzeństwo), powinowaci w linii prostej do 1 stopnia (teść, teściowa). Jest to krąg osób, którym przysługuje prawo do pochowania, nie stanowi natomiast źródła powstania </w:t>
      </w:r>
      <w:hyperlink r:id="rId6" w:history="1">
        <w:r>
          <w:rPr>
            <w:rStyle w:val="Hipercze"/>
            <w:color w:val="000000"/>
            <w:u w:val="none"/>
          </w:rPr>
          <w:t>prawa majątkowego</w:t>
        </w:r>
      </w:hyperlink>
      <w:r>
        <w:rPr>
          <w:rFonts w:eastAsia="Georgia" w:cs="Georgia"/>
          <w:color w:val="000000"/>
        </w:rPr>
        <w:t xml:space="preserve"> do grobu, co nie oznacza, że te osoby mogą zostać pochowane w tym grobie. </w:t>
      </w:r>
    </w:p>
    <w:p w:rsidR="00FA0E75" w:rsidRDefault="001436DB">
      <w:pPr>
        <w:widowControl/>
        <w:spacing w:line="480" w:lineRule="auto"/>
        <w:jc w:val="both"/>
      </w:pPr>
      <w:r>
        <w:rPr>
          <w:rFonts w:eastAsia="Georgia" w:cs="Georgia"/>
          <w:color w:val="000000"/>
        </w:rPr>
        <w:tab/>
        <w:t>W polskim porządku prawnym prawo do grobu ziemnego wygasa po 20 latach, jednakże tylko w przypadku, gdy zarząd cmentarza użyje go do ponownego pochówku innej osoby, która nabyła to prawo oraz gdy nie została uiszczona </w:t>
      </w:r>
      <w:r>
        <w:rPr>
          <w:rStyle w:val="Pogrubienie"/>
          <w:rFonts w:eastAsia="Georgia" w:cs="Georgia"/>
          <w:b w:val="0"/>
          <w:bCs w:val="0"/>
          <w:color w:val="000000"/>
        </w:rPr>
        <w:t>opłata</w:t>
      </w:r>
      <w:r>
        <w:rPr>
          <w:rFonts w:eastAsia="Georgia" w:cs="Georgia"/>
          <w:color w:val="000000"/>
        </w:rPr>
        <w:t xml:space="preserve">, tzw. pokładne na kolejne 20 lat, zgodnie z regulaminem danego cmentarza. W ustawie o cmentarzach i chowaniu zmarłych nie została dokładnie dookreślona osoba uprawniona do wniesienia opłaty za grób, który może zostać ponownie wykorzystany. Powstaje okoliczność uprawniająca każdą osobę, która uiści daną opłatę na kolejnych 20 lat i złoży zastrzeżenie do dokonania ponownego pochówku. Osoba zgłaszająca takie zastrzeżenie nie nabywa dla siebie żadnych praw majątkowych do grobu, może jedynie </w:t>
      </w:r>
      <w:r>
        <w:rPr>
          <w:rFonts w:eastAsia="Georgia" w:cs="Georgia"/>
          <w:color w:val="000000"/>
        </w:rPr>
        <w:lastRenderedPageBreak/>
        <w:t>wykorzystać dane miejsce do ponownego chowania. Wyjątek stanowi przypadek, gdy w grobie znajdują się pamiątki, posiadające </w:t>
      </w:r>
      <w:r>
        <w:rPr>
          <w:rStyle w:val="Pogrubienie"/>
          <w:rFonts w:eastAsia="Georgia" w:cs="Georgia"/>
          <w:b w:val="0"/>
          <w:bCs w:val="0"/>
          <w:color w:val="000000"/>
        </w:rPr>
        <w:t>wartość historyczną</w:t>
      </w:r>
      <w:r>
        <w:rPr>
          <w:rFonts w:eastAsia="Georgia" w:cs="Georgia"/>
          <w:color w:val="000000"/>
        </w:rPr>
        <w:t xml:space="preserve"> lub o charakterze artystycznym, wtedy możliwość kolejnego pochówku jest niedopuszczalna. </w:t>
      </w:r>
    </w:p>
    <w:p w:rsidR="00FA0E75" w:rsidRDefault="00FA0E75">
      <w:pPr>
        <w:widowControl/>
        <w:spacing w:line="480" w:lineRule="auto"/>
        <w:jc w:val="both"/>
      </w:pPr>
    </w:p>
    <w:p w:rsidR="00FA0E75" w:rsidRDefault="001436DB">
      <w:pPr>
        <w:widowControl/>
        <w:numPr>
          <w:ilvl w:val="2"/>
          <w:numId w:val="4"/>
        </w:numPr>
        <w:spacing w:line="480" w:lineRule="auto"/>
        <w:jc w:val="both"/>
        <w:rPr>
          <w:b/>
          <w:bCs/>
        </w:rPr>
      </w:pPr>
      <w:r>
        <w:rPr>
          <w:rFonts w:eastAsia="Georgia" w:cs="Georgia"/>
          <w:b/>
          <w:bCs/>
          <w:color w:val="000000"/>
        </w:rPr>
        <w:t>Czy da się uniknąć sporu rodzinnego przy otrzymaniu spadku?</w:t>
      </w:r>
    </w:p>
    <w:p w:rsidR="00FA0E75" w:rsidRDefault="00FA0E75">
      <w:pPr>
        <w:widowControl/>
        <w:spacing w:line="480" w:lineRule="auto"/>
        <w:jc w:val="both"/>
        <w:rPr>
          <w:b/>
          <w:bCs/>
        </w:rPr>
      </w:pPr>
    </w:p>
    <w:p w:rsidR="00FA0E75" w:rsidRDefault="001436DB">
      <w:pPr>
        <w:widowControl/>
        <w:spacing w:line="480" w:lineRule="auto"/>
        <w:jc w:val="both"/>
        <w:rPr>
          <w:color w:val="000000"/>
        </w:rPr>
      </w:pPr>
      <w:r>
        <w:rPr>
          <w:rFonts w:eastAsia="Georgia" w:cs="Georgia"/>
          <w:b/>
          <w:bCs/>
          <w:color w:val="000000"/>
        </w:rPr>
        <w:tab/>
      </w:r>
      <w:r>
        <w:rPr>
          <w:rFonts w:eastAsia="Georgia" w:cs="Georgia"/>
          <w:color w:val="000000"/>
        </w:rPr>
        <w:t xml:space="preserve">Niestety ale często zdarza się, że śmierć bliskiej osoby może przysporzyć wiele problemów w rodzinie zwłaszcza jeśli w skład masy spadkowej wchodzi jakaś nieruchomość. Natomiast można tego uniknąć poprzez sporządzenie testamentu, który jest jedynym i wyłącznym wyrażeniem woli, kształtującym sytuację majątkową spadkobierców względem szeroko rozumianego majątku spadkodawcy. Ogólnie mówiąc jest to czynność prawna bądź dokument, w którym zawarte jest oświadczenie woli testatora na wypadek jego śmierci.  Zgodnie z przepisami </w:t>
      </w:r>
      <w:r>
        <w:rPr>
          <w:color w:val="000000"/>
        </w:rPr>
        <w:t>prawa cywilnego  t</w:t>
      </w:r>
      <w:hyperlink r:id="rId7" w:history="1">
        <w:r>
          <w:rPr>
            <w:rStyle w:val="Hipercze"/>
            <w:color w:val="000000"/>
            <w:u w:val="none"/>
          </w:rPr>
          <w:t>estamen t</w:t>
        </w:r>
      </w:hyperlink>
      <w:r>
        <w:rPr>
          <w:color w:val="000000"/>
        </w:rPr>
        <w:t>może sporządzić i odwołać tylko osoba posiadająca pełną zdolność do czynności prawnych - oznacza to, że </w:t>
      </w:r>
      <w:r>
        <w:rPr>
          <w:rStyle w:val="Pogrubienie"/>
          <w:b w:val="0"/>
          <w:bCs w:val="0"/>
          <w:color w:val="000000"/>
        </w:rPr>
        <w:t>sporządzenie testamentu przez osobę niepełnoletnią lub osobę ubezwłasnowolnioną powoduje bezwzględną nieważność testamentu</w:t>
      </w:r>
      <w:r>
        <w:rPr>
          <w:color w:val="000000"/>
        </w:rPr>
        <w:t>. Testament można sporządzić własnoręcznie lub w formie aktu notarialnego.</w:t>
      </w:r>
    </w:p>
    <w:p w:rsidR="00FA0E75" w:rsidRDefault="001436DB">
      <w:pPr>
        <w:widowControl/>
        <w:spacing w:line="480" w:lineRule="auto"/>
        <w:jc w:val="both"/>
        <w:rPr>
          <w:color w:val="000000"/>
        </w:rPr>
      </w:pPr>
      <w:r>
        <w:rPr>
          <w:color w:val="000000"/>
        </w:rPr>
        <w:tab/>
        <w:t xml:space="preserve">Należy jeszcze podkreślić, iż w sytuacji konfiktowej zdarzają się przypadki , iż podnoszony jest zarzut nieważności teastamentu. </w:t>
      </w:r>
      <w:r>
        <w:rPr>
          <w:rFonts w:eastAsia="Georgia" w:cs="Georgia"/>
          <w:color w:val="000000"/>
        </w:rPr>
        <w:t xml:space="preserve"> Zarzut ten może zostać skutecznie podniesiony tylko wówczas, gdy </w:t>
      </w:r>
      <w:r>
        <w:rPr>
          <w:rStyle w:val="Pogrubienie"/>
          <w:rFonts w:eastAsia="Georgia" w:cs="Georgia"/>
          <w:b w:val="0"/>
          <w:bCs w:val="0"/>
          <w:color w:val="000000"/>
        </w:rPr>
        <w:t>testament został sporządzony w stanie wyłączającym świadome albo swobodne powzięcie decyzji i wyrażenie woli, pod wpływem błędu uzasadniającego przypuszczenie, gdyby spadkodawca nie działał pod wpływem błędu, nie sporządziłby testamentu tej treści</w:t>
      </w:r>
      <w:r>
        <w:rPr>
          <w:rFonts w:eastAsia="Georgia" w:cs="Georgia"/>
          <w:color w:val="000000"/>
        </w:rPr>
        <w:t>, lub </w:t>
      </w:r>
      <w:r>
        <w:rPr>
          <w:rStyle w:val="Pogrubienie"/>
          <w:rFonts w:eastAsia="Georgia" w:cs="Georgia"/>
          <w:b w:val="0"/>
          <w:bCs w:val="0"/>
          <w:color w:val="000000"/>
        </w:rPr>
        <w:t>pod wpływem groźby</w:t>
      </w:r>
      <w:r>
        <w:rPr>
          <w:rFonts w:eastAsia="Georgia" w:cs="Georgia"/>
          <w:color w:val="000000"/>
        </w:rPr>
        <w:t xml:space="preserve">. Możliwość powoływania się na nieważność testamentu wynikającą z wystąpienia wady oświadczenia woli testatora przy sporządzeniu testamentu jest ograniczona terminem tj. do 3 lat od dnia, w którym osoba mająca w tym interes dowiedziała się o przyczynie nieważności, a także w każdym razie do 10 lat od otwarcia spadku - po upływie tego czasu nikt nie może powoływać się na nieważność testamentu wynikającą ze sporządzenia pod wpływem wady </w:t>
      </w:r>
      <w:r>
        <w:rPr>
          <w:rFonts w:eastAsia="Georgia" w:cs="Georgia"/>
          <w:color w:val="000000"/>
        </w:rPr>
        <w:lastRenderedPageBreak/>
        <w:t>oświadczenia woli, w konsekwencji czego nieważny testament będzie wywoływał wszelkie skutki prawne związane z jego sporządzeniem. Co ważne, nie wystarczy samo wystąpienie okoliczności uzasadniających unieważnienie testamentu - zarzut nieważności musi zostać udowodniony przez osobę, która uważa, że oświadczenie woli spadkodawcy, będące podstawą dziedziczenia jest nieważne. </w:t>
      </w:r>
    </w:p>
    <w:p w:rsidR="001436DB" w:rsidRDefault="001436DB">
      <w:pPr>
        <w:pStyle w:val="Tekstpodstawowy"/>
      </w:pPr>
      <w:r>
        <w:rPr>
          <w:color w:val="000000"/>
        </w:rPr>
        <w:br/>
      </w:r>
    </w:p>
    <w:sectPr w:rsidR="001436DB">
      <w:pgSz w:w="11906" w:h="16838"/>
      <w:pgMar w:top="1134" w:right="1129"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Neue">
    <w:altName w:val="Helvetica"/>
    <w:charset w:val="EE"/>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5B"/>
    <w:rsid w:val="001436DB"/>
    <w:rsid w:val="0020675B"/>
    <w:rsid w:val="00AA2858"/>
    <w:rsid w:val="00FA0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Hipercze">
    <w:name w:val="Hyperlink"/>
    <w:rPr>
      <w:color w:val="000080"/>
      <w:u w:val="single"/>
    </w:rPr>
  </w:style>
  <w:style w:type="character" w:styleId="Pogrubienie">
    <w:name w:val="Strong"/>
    <w:qFormat/>
    <w:rPr>
      <w:b/>
      <w:bCs/>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Hipercze">
    <w:name w:val="Hyperlink"/>
    <w:rPr>
      <w:color w:val="000080"/>
      <w:u w:val="single"/>
    </w:rPr>
  </w:style>
  <w:style w:type="character" w:styleId="Pogrubienie">
    <w:name w:val="Strong"/>
    <w:qFormat/>
    <w:rPr>
      <w:b/>
      <w:bCs/>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for.pl/prawo/notariusz/akt-notarial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afirma.infor.pl/windykacja/egzekucja-naleznosci-pienieznych/688057,Egzekucja-z-innych-praw-majatkowyc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2021-04-19T11:02:00Z</cp:lastPrinted>
  <dcterms:created xsi:type="dcterms:W3CDTF">2021-04-19T11:02:00Z</dcterms:created>
  <dcterms:modified xsi:type="dcterms:W3CDTF">2021-04-19T11:02:00Z</dcterms:modified>
</cp:coreProperties>
</file>