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1C8" w:rsidRDefault="00B716F7">
      <w:pPr>
        <w:pStyle w:val="Nagwek1"/>
        <w:spacing w:before="0" w:after="0" w:line="360" w:lineRule="auto"/>
        <w:ind w:left="0" w:firstLine="0"/>
        <w:rPr>
          <w:rFonts w:ascii="Times New Roman" w:hAnsi="Times New Roman"/>
          <w:color w:val="000000"/>
          <w:sz w:val="24"/>
          <w:szCs w:val="24"/>
        </w:rPr>
      </w:pPr>
      <w:bookmarkStart w:id="0" w:name="_GoBack"/>
      <w:bookmarkEnd w:id="0"/>
      <w:r>
        <w:rPr>
          <w:rFonts w:ascii="Times New Roman" w:hAnsi="Times New Roman"/>
          <w:color w:val="000000"/>
          <w:sz w:val="24"/>
          <w:szCs w:val="24"/>
        </w:rPr>
        <w:t>Eksmisja dłużników  w  pandemii.</w:t>
      </w:r>
    </w:p>
    <w:p w:rsidR="003C31C8" w:rsidRDefault="003C31C8">
      <w:pPr>
        <w:spacing w:line="360" w:lineRule="auto"/>
        <w:jc w:val="both"/>
        <w:rPr>
          <w:rFonts w:ascii="Times New Roman" w:hAnsi="Times New Roman"/>
          <w:color w:val="000000"/>
        </w:rPr>
      </w:pPr>
    </w:p>
    <w:p w:rsidR="003C31C8" w:rsidRDefault="00B716F7">
      <w:pPr>
        <w:spacing w:line="360" w:lineRule="auto"/>
        <w:jc w:val="both"/>
        <w:rPr>
          <w:rFonts w:ascii="Times New Roman" w:hAnsi="Times New Roman"/>
          <w:color w:val="000000"/>
        </w:rPr>
      </w:pPr>
      <w:r>
        <w:rPr>
          <w:rFonts w:ascii="Times New Roman" w:hAnsi="Times New Roman"/>
          <w:color w:val="000000"/>
        </w:rPr>
        <w:tab/>
        <w:t>Obecnie, w związku z występowaniem pandemii spowodowanej  koronawirusem  obowiązuje zakaz eksmisji dłużników. Prawdopodobnie ten zakaz będzie obowiązywał do końca pandemii. Właściciele mieszkań na wynajem, na chwilę obecną nie mają możliwości uzyskania odszkodowań ze strony państwa za poniesione straty  w związku z brakiem chętnych najemców lub najemców niewypłacalnych . Na czas pandemii zostały wstrzymane również licytacje komornicze dotyczące domów i mieszkań.  Pandemia znacznie utrudnia właścicielom mieszkań radzenie sobie z uciążliwymi dłużnikami. Czy jest zatem możliwość dojścia do porozumienia między właścicielami a najemcami?</w:t>
      </w:r>
    </w:p>
    <w:p w:rsidR="003C31C8" w:rsidRDefault="00B716F7">
      <w:pPr>
        <w:pStyle w:val="Tekstpodstawowy"/>
        <w:spacing w:after="0" w:line="360" w:lineRule="auto"/>
        <w:jc w:val="both"/>
        <w:rPr>
          <w:rFonts w:ascii="Times New Roman" w:hAnsi="Times New Roman"/>
          <w:color w:val="000000"/>
        </w:rPr>
      </w:pPr>
      <w:r>
        <w:rPr>
          <w:rFonts w:ascii="Times New Roman" w:hAnsi="Times New Roman"/>
          <w:color w:val="000000"/>
        </w:rPr>
        <w:tab/>
        <w:t>W związku z występowaniem pandemii  </w:t>
      </w:r>
      <w:hyperlink r:id="rId6" w:history="1">
        <w:r>
          <w:rPr>
            <w:rStyle w:val="Hipercze"/>
            <w:rFonts w:hAnsi="Times New Roman"/>
            <w:color w:val="000000"/>
            <w:u w:val="none"/>
          </w:rPr>
          <w:t>koronawirusa</w:t>
        </w:r>
      </w:hyperlink>
      <w:r>
        <w:rPr>
          <w:rFonts w:ascii="Times New Roman" w:hAnsi="Times New Roman"/>
          <w:color w:val="000000"/>
        </w:rPr>
        <w:t xml:space="preserve">, polski rząd  wprowadził wiele regulacji, które wydawałyby się mało prawdopodobne w innych okolicznościach. Przykładem  może  być właśnie  tymczasowy zakaz eksmisji. Niestety ale wielu właścicieli  nieruchomości  nie posiada dostatecznych informacji w wtym temacie. Nawet media krajowe bardzo rzadko informują o fakcie, iż eksmisje zostały odłożone w czasie. </w:t>
      </w:r>
    </w:p>
    <w:p w:rsidR="003C31C8" w:rsidRDefault="00B716F7">
      <w:pPr>
        <w:pStyle w:val="Tekstpodstawowy"/>
        <w:spacing w:after="0" w:line="360" w:lineRule="auto"/>
        <w:jc w:val="both"/>
        <w:rPr>
          <w:rFonts w:ascii="Times New Roman" w:hAnsi="Times New Roman"/>
          <w:color w:val="000000"/>
        </w:rPr>
      </w:pPr>
      <w:r>
        <w:rPr>
          <w:rFonts w:ascii="Times New Roman" w:hAnsi="Times New Roman"/>
          <w:color w:val="000000"/>
        </w:rPr>
        <w:tab/>
        <w:t>Forma o</w:t>
      </w:r>
      <w:r>
        <w:rPr>
          <w:rStyle w:val="Mocnewyrnione"/>
          <w:rFonts w:ascii="Times New Roman" w:hAnsi="Times New Roman"/>
          <w:b w:val="0"/>
          <w:bCs w:val="0"/>
          <w:color w:val="000000"/>
        </w:rPr>
        <w:t xml:space="preserve">droczonej eksmisji, </w:t>
      </w:r>
      <w:r>
        <w:rPr>
          <w:rFonts w:ascii="Times New Roman" w:hAnsi="Times New Roman"/>
          <w:color w:val="000000"/>
        </w:rPr>
        <w:t>to zmiana prawna, która z całą pewnością jest najbardziej uciążliwa dla właścicieli mieszkań. Nie dotyczy to tylko i wyłącznie  osób prywatnych, które wynajmują swoje prywatne mieszkania , domy czy lokale. Należy przypomnieć , iż najem mieszkań jest często prowadzony przez gminy. W przypadku lokali należących do samorządów, zaległości czynszowe są częstym zjawiskiem, co bardzo dobrze potwierdzają dane GUS. Na chwilę obecną wiele wskazuje na to, iż czynszowi dłużnicy jeszcze przed dłuższy czas będą praktycznie bezkarni.</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Omawiając przedmiotowy temat warto podkreślić, iż ograniczenia związane z możliwością przeprowadzania eksmisji nie obowiązują od samego początku pandemii. Zostały one wprowadzone na mocy tak zwanej tarczy antykryzysowej 2.0, czyli ustawy o zmianie ustawy o szczególnych rozwiązaniach związanych z zapobieganiem, przeciwdziałaniem i zwalczaniem </w:t>
      </w:r>
      <w:hyperlink r:id="rId7" w:history="1">
        <w:r>
          <w:rPr>
            <w:rStyle w:val="Hipercze"/>
            <w:rFonts w:hAnsi="Times New Roman"/>
            <w:color w:val="000000"/>
            <w:u w:val="none"/>
          </w:rPr>
          <w:t>COVID-19</w:t>
        </w:r>
      </w:hyperlink>
      <w:r>
        <w:rPr>
          <w:rFonts w:ascii="Times New Roman" w:hAnsi="Times New Roman"/>
          <w:color w:val="000000"/>
        </w:rPr>
        <w:t xml:space="preserve">, innych chorób zakaźnych oraz wywołanych nimi sytuacji kryzysowych oraz niektórych innych ustaw (Dz.U. 2020 poz. 568). Ten akt prawny dodał do głównej „epidemicznej” ustawy z 2 marca 2020 r. artykuł 15zzu mówiący, że: </w:t>
      </w:r>
    </w:p>
    <w:p w:rsidR="003C31C8" w:rsidRDefault="00B716F7">
      <w:pPr>
        <w:pStyle w:val="Tekstpodstawowy"/>
        <w:numPr>
          <w:ilvl w:val="0"/>
          <w:numId w:val="2"/>
        </w:numPr>
        <w:tabs>
          <w:tab w:val="left" w:pos="0"/>
        </w:tabs>
        <w:spacing w:after="0" w:line="360" w:lineRule="auto"/>
        <w:jc w:val="both"/>
        <w:rPr>
          <w:rFonts w:ascii="Times New Roman" w:hAnsi="Times New Roman"/>
          <w:color w:val="000000"/>
        </w:rPr>
      </w:pPr>
      <w:r>
        <w:rPr>
          <w:rFonts w:ascii="Times New Roman" w:hAnsi="Times New Roman"/>
          <w:color w:val="000000"/>
        </w:rPr>
        <w:t>W okresie obowiązywania stanu zagrożenia epidemicznego albo stanu epidemii ogłoszonego z powodu COVID-19 nie wykonuje się tytułów wykonawczych nakazujących opróżnienie lokalu mieszkalnego.</w:t>
      </w:r>
    </w:p>
    <w:p w:rsidR="003C31C8" w:rsidRDefault="00B716F7">
      <w:pPr>
        <w:pStyle w:val="Tekstpodstawowy"/>
        <w:numPr>
          <w:ilvl w:val="0"/>
          <w:numId w:val="2"/>
        </w:numPr>
        <w:tabs>
          <w:tab w:val="left" w:pos="0"/>
        </w:tabs>
        <w:spacing w:after="0" w:line="360" w:lineRule="auto"/>
        <w:jc w:val="both"/>
        <w:rPr>
          <w:rFonts w:ascii="Times New Roman" w:hAnsi="Times New Roman"/>
          <w:color w:val="000000"/>
        </w:rPr>
      </w:pPr>
      <w:r>
        <w:rPr>
          <w:rFonts w:ascii="Times New Roman" w:hAnsi="Times New Roman"/>
          <w:color w:val="000000"/>
        </w:rPr>
        <w:t>Przepis ust. 1 nie dotyczy:</w:t>
      </w:r>
    </w:p>
    <w:p w:rsidR="003C31C8" w:rsidRDefault="00B716F7">
      <w:pPr>
        <w:pStyle w:val="Tekstpodstawowy"/>
        <w:spacing w:after="300" w:line="360" w:lineRule="auto"/>
        <w:jc w:val="both"/>
        <w:rPr>
          <w:rFonts w:ascii="Times New Roman" w:hAnsi="Times New Roman"/>
          <w:color w:val="000000"/>
        </w:rPr>
      </w:pPr>
      <w:r>
        <w:rPr>
          <w:rFonts w:ascii="Times New Roman" w:hAnsi="Times New Roman"/>
          <w:color w:val="000000"/>
        </w:rPr>
        <w:t>1) orzeczeń wydanych na podstawie art. 11a ustawy z dnia 29 lipca 2005 r. o przeciwdziałaniu przemocy w rodzinie (Dz. U. z 2020 r. poz. 218 i 956);</w:t>
      </w:r>
    </w:p>
    <w:p w:rsidR="003C31C8" w:rsidRDefault="00B716F7">
      <w:pPr>
        <w:pStyle w:val="Tekstpodstawowy"/>
        <w:spacing w:after="300" w:line="360" w:lineRule="auto"/>
        <w:jc w:val="both"/>
        <w:rPr>
          <w:rFonts w:ascii="Times New Roman" w:hAnsi="Times New Roman"/>
          <w:color w:val="000000"/>
        </w:rPr>
      </w:pPr>
      <w:r>
        <w:rPr>
          <w:rFonts w:ascii="Times New Roman" w:hAnsi="Times New Roman"/>
          <w:color w:val="000000"/>
        </w:rPr>
        <w:lastRenderedPageBreak/>
        <w:t>2) decyzji o:</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zezwoleniu na realizację inwestycji drogowej - wydawanej na podstawie ustawy z dnia 10 kwietnia 2003 r. o szczególnych zasadach przygotowania i realizacji inwestycji w zakresie dróg publicznych (Dz. U. z 2020 r. poz. 1363),</w:t>
      </w:r>
    </w:p>
    <w:p w:rsidR="003C31C8" w:rsidRDefault="00B716F7">
      <w:pPr>
        <w:pStyle w:val="Tekstpodstawowy"/>
        <w:numPr>
          <w:ilvl w:val="0"/>
          <w:numId w:val="3"/>
        </w:numPr>
        <w:tabs>
          <w:tab w:val="left" w:pos="0"/>
        </w:tabs>
        <w:spacing w:after="0" w:line="360" w:lineRule="auto"/>
        <w:jc w:val="both"/>
        <w:rPr>
          <w:rFonts w:ascii="Times New Roman" w:hAnsi="Times New Roman"/>
          <w:color w:val="000000"/>
        </w:rPr>
      </w:pPr>
      <w:r>
        <w:rPr>
          <w:rFonts w:ascii="Times New Roman" w:hAnsi="Times New Roman"/>
          <w:color w:val="000000"/>
        </w:rPr>
        <w:t>ustaleniu lokalizacji linii kolejowej - wydawanej na podstawie ustawy z dnia 28 marca 2003 r. o transporcie kolejowym,</w:t>
      </w:r>
    </w:p>
    <w:p w:rsidR="003C31C8" w:rsidRDefault="00B716F7">
      <w:pPr>
        <w:pStyle w:val="Tekstpodstawowy"/>
        <w:numPr>
          <w:ilvl w:val="0"/>
          <w:numId w:val="3"/>
        </w:numPr>
        <w:tabs>
          <w:tab w:val="left" w:pos="0"/>
        </w:tabs>
        <w:spacing w:after="0" w:line="360" w:lineRule="auto"/>
        <w:jc w:val="both"/>
        <w:rPr>
          <w:rFonts w:ascii="Times New Roman" w:hAnsi="Times New Roman"/>
          <w:color w:val="000000"/>
        </w:rPr>
      </w:pPr>
      <w:r>
        <w:rPr>
          <w:rFonts w:ascii="Times New Roman" w:hAnsi="Times New Roman"/>
          <w:color w:val="000000"/>
        </w:rPr>
        <w:t>zezwoleniu na realizację inwestycji w zakresie lotniska użytku publicznego w rozumieniu przepisów ustawy z dnia 12 lutego 2009 r. o szczególnych zasadach przygotowania i realizacji inwestycji w zakresie lotnisk użytku publicznego (Dz. U. z 2018 r. poz. 1380, z 2020 r. poz. 471 i 2380 oraz z 2021 r. poz. 11),</w:t>
      </w:r>
    </w:p>
    <w:p w:rsidR="003C31C8" w:rsidRDefault="00B716F7">
      <w:pPr>
        <w:pStyle w:val="Tekstpodstawowy"/>
        <w:numPr>
          <w:ilvl w:val="0"/>
          <w:numId w:val="3"/>
        </w:numPr>
        <w:tabs>
          <w:tab w:val="left" w:pos="0"/>
        </w:tabs>
        <w:spacing w:after="0" w:line="360" w:lineRule="auto"/>
        <w:jc w:val="both"/>
        <w:rPr>
          <w:rFonts w:ascii="Times New Roman" w:hAnsi="Times New Roman"/>
          <w:color w:val="000000"/>
        </w:rPr>
      </w:pPr>
      <w:r>
        <w:rPr>
          <w:rFonts w:ascii="Times New Roman" w:hAnsi="Times New Roman"/>
          <w:color w:val="000000"/>
        </w:rPr>
        <w:t>ustaleniu lokalizacji inwestycji w zakresie Centralnego Portu Komunikacyjnego, o której mowa w przepisach ustawy z dnia 10 maja 2018 r. o Centralnym Porcie Komunikacyjnym (Dz. U z 2020 r. poz. 234 i 1378),</w:t>
      </w:r>
    </w:p>
    <w:p w:rsidR="003C31C8" w:rsidRDefault="00B716F7">
      <w:pPr>
        <w:pStyle w:val="Tekstpodstawowy"/>
        <w:numPr>
          <w:ilvl w:val="0"/>
          <w:numId w:val="3"/>
        </w:numPr>
        <w:tabs>
          <w:tab w:val="left" w:pos="0"/>
        </w:tabs>
        <w:spacing w:after="0" w:line="360" w:lineRule="auto"/>
        <w:jc w:val="both"/>
        <w:rPr>
          <w:rFonts w:ascii="Times New Roman" w:hAnsi="Times New Roman"/>
          <w:color w:val="000000"/>
        </w:rPr>
      </w:pPr>
      <w:r>
        <w:rPr>
          <w:rFonts w:ascii="Times New Roman" w:hAnsi="Times New Roman"/>
          <w:color w:val="000000"/>
        </w:rPr>
        <w:t>pozwoleniu na realizację inwestycji - wydawanej na podstawie ustawy z dnia 8 lipca 2010 r. o szczególnych zasadach przygotowania do realizacji inwestycji w zakresie budowli przeciwpowodziowych (Dz. U. z 2019 r. poz. 933 oraz z 2020 r. poz. 471).</w:t>
      </w:r>
    </w:p>
    <w:p w:rsidR="003C31C8" w:rsidRDefault="00B716F7">
      <w:pPr>
        <w:pStyle w:val="Tekstpodstawowy"/>
        <w:spacing w:after="300" w:line="360" w:lineRule="auto"/>
        <w:jc w:val="both"/>
        <w:rPr>
          <w:rFonts w:ascii="Times New Roman" w:hAnsi="Times New Roman"/>
          <w:color w:val="000000"/>
        </w:rPr>
      </w:pPr>
      <w:r>
        <w:rPr>
          <w:rFonts w:ascii="Times New Roman" w:hAnsi="Times New Roman"/>
          <w:color w:val="000000"/>
        </w:rPr>
        <w:t>Z tego wynika, że art. 15zzu ustawy wprowadza z wyjątkami tam określonymi zakaz wykonywania w stanie epidemii wyroków dotyczących eksmisji z lokali mieszkalnych niezależnie od tego, czy osoba eksmitowana posiada tytuł prawny do innego lokalu mieszkalnego. Zwrócić należy uwagę, że samo posiadanie tytułu prawnego do innego lokalu mieszkalnego nie świadczy jeszcze o możliwości zaspokojenia potrzeb mieszkaniowych w tym lokalu.</w:t>
      </w:r>
    </w:p>
    <w:p w:rsidR="003C31C8" w:rsidRDefault="00B716F7">
      <w:pPr>
        <w:pStyle w:val="Tekstpodstawowy"/>
        <w:spacing w:after="0" w:line="360" w:lineRule="auto"/>
        <w:jc w:val="both"/>
        <w:rPr>
          <w:rFonts w:ascii="Times New Roman" w:hAnsi="Times New Roman"/>
          <w:color w:val="000000"/>
        </w:rPr>
      </w:pPr>
      <w:r>
        <w:rPr>
          <w:rFonts w:ascii="Times New Roman" w:hAnsi="Times New Roman"/>
          <w:color w:val="000000"/>
        </w:rPr>
        <w:t xml:space="preserve"> Takie brzmienie przepisu przekładającego eksmisje wskazuje, że odblokowanie procedury eksmisyjnej może zająć jeszcze sporo czasu.</w:t>
      </w:r>
      <w:r>
        <w:rPr>
          <w:rStyle w:val="Uwydatnienie"/>
          <w:rFonts w:ascii="Times New Roman" w:hAnsi="Times New Roman"/>
          <w:i w:val="0"/>
          <w:iCs w:val="0"/>
          <w:color w:val="000000"/>
        </w:rPr>
        <w:t>Wszystko będzie bowiem zależało od dalszego przebiegu pandemii, co w chwili obecnej pozwala przypuszczać, iz jeszcze długie miesiące nie będzie możliwości przeprowadzania procedur eksmisyjnych.</w:t>
      </w:r>
    </w:p>
    <w:p w:rsidR="003C31C8" w:rsidRDefault="00B716F7">
      <w:pPr>
        <w:pStyle w:val="Tekstpodstawowy"/>
        <w:spacing w:line="360" w:lineRule="auto"/>
        <w:jc w:val="both"/>
        <w:rPr>
          <w:rStyle w:val="Uwydatnienie"/>
          <w:rFonts w:ascii="Times New Roman" w:hAnsi="Times New Roman"/>
          <w:color w:val="000000"/>
        </w:rPr>
      </w:pPr>
      <w:r>
        <w:rPr>
          <w:rFonts w:ascii="Times New Roman" w:hAnsi="Times New Roman"/>
          <w:color w:val="000000"/>
        </w:rPr>
        <w:t>Powyżej cytowany artykuł 15zzu ustawy z 2 marca 2020 r. (Dz.U. 2020 poz. 374) przewiduje pewne </w:t>
      </w:r>
      <w:r>
        <w:rPr>
          <w:rStyle w:val="Mocnewyrnione"/>
          <w:rFonts w:ascii="Times New Roman" w:hAnsi="Times New Roman"/>
          <w:b w:val="0"/>
          <w:bCs w:val="0"/>
          <w:color w:val="000000"/>
        </w:rPr>
        <w:t>ograniczenia w zakresie stosowania zakazu eksmisyjnego. Chodzi przede wszystkim o eksmisje związane z realizacją dużych inwestycji publicznych</w:t>
      </w:r>
      <w:r>
        <w:rPr>
          <w:rFonts w:ascii="Times New Roman" w:hAnsi="Times New Roman"/>
          <w:color w:val="000000"/>
        </w:rPr>
        <w:t> (tzn. budową </w:t>
      </w:r>
      <w:hyperlink r:id="rId8" w:history="1">
        <w:r>
          <w:rPr>
            <w:rStyle w:val="Hipercze"/>
            <w:rFonts w:hAnsi="Times New Roman"/>
            <w:color w:val="000000"/>
            <w:u w:val="none"/>
          </w:rPr>
          <w:t>drogi</w:t>
        </w:r>
      </w:hyperlink>
      <w:r>
        <w:rPr>
          <w:rFonts w:ascii="Times New Roman" w:hAnsi="Times New Roman"/>
          <w:color w:val="000000"/>
        </w:rPr>
        <w:t xml:space="preserve">, lotniska, linii kolejowej, budowli przeciwpowodziowych oraz Centralnego Portu Komunikacyjnego). Wyjątek stanowi punkt wskazujący, że eksmisje mimo pandemii mogą dotyczyć osób stosujących przemoc w rodzinie. Jednak w tym miejscu warto zaznaczyc, iż w przedmiotowej ustawie zapomniano o lokatorach, którzy np </w:t>
      </w:r>
      <w:r>
        <w:rPr>
          <w:rFonts w:ascii="Times New Roman" w:hAnsi="Times New Roman"/>
          <w:color w:val="000000"/>
        </w:rPr>
        <w:lastRenderedPageBreak/>
        <w:t xml:space="preserve">niszczą I demolują mieszkania bezradnego właściciela lub swoim nagannym zachowaniem utrudniają życie sąsiadom.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Istotne jest, iż właściciele lokali nie otrzymają łatwo rekompensaty. Prywatni właściciele mieszkań na </w:t>
      </w:r>
      <w:hyperlink r:id="rId9" w:history="1">
        <w:r>
          <w:rPr>
            <w:rStyle w:val="Hipercze"/>
            <w:rFonts w:hAnsi="Times New Roman"/>
            <w:color w:val="000000"/>
            <w:u w:val="none"/>
          </w:rPr>
          <w:t>wynajem</w:t>
        </w:r>
      </w:hyperlink>
      <w:r>
        <w:rPr>
          <w:rFonts w:ascii="Times New Roman" w:hAnsi="Times New Roman"/>
          <w:color w:val="000000"/>
        </w:rPr>
        <w:t> mogą narzekać nie tylko na przepisy, które blokują np. eksmisje lokatorów niszczących własność. Warto również wspomnieć o trudnościach, jakie będzie powodowało ewentualne wyegzekwowanie od państwa odszkodowania za opóźnioną eksmisję. W sytuacji, w której  </w:t>
      </w:r>
      <w:hyperlink r:id="rId10" w:history="1">
        <w:r>
          <w:rPr>
            <w:rStyle w:val="Hipercze"/>
            <w:rFonts w:hAnsi="Times New Roman"/>
            <w:color w:val="000000"/>
            <w:u w:val="none"/>
          </w:rPr>
          <w:t>gmina</w:t>
        </w:r>
      </w:hyperlink>
      <w:r>
        <w:rPr>
          <w:rFonts w:ascii="Times New Roman" w:hAnsi="Times New Roman"/>
          <w:color w:val="000000"/>
        </w:rPr>
        <w:t xml:space="preserve"> wskazała pomieszczenie tymczasowe lub </w:t>
      </w:r>
      <w:hyperlink r:id="rId11" w:history="1">
        <w:r>
          <w:rPr>
            <w:rStyle w:val="Hipercze"/>
            <w:rFonts w:hAnsi="Times New Roman"/>
            <w:color w:val="000000"/>
            <w:u w:val="none"/>
          </w:rPr>
          <w:t>lokal</w:t>
        </w:r>
      </w:hyperlink>
      <w:r>
        <w:rPr>
          <w:rFonts w:ascii="Times New Roman" w:hAnsi="Times New Roman"/>
          <w:color w:val="000000"/>
        </w:rPr>
        <w:t> socjalny dla dłużnika, ale eksmisja nie może się odbyć ze względu na koronawirusowe obostrzenia. Można tutaj przypuszczać, iż w związku z niemożliwością wykonania eksmisji niektórzy właściciele będą próbowali nakłonić dłużników do dobrowolnej wyprowadzki np w zamian za umorzenie części długów ( związanych z czynszem najmu lub opłatami za lokal).</w:t>
      </w:r>
    </w:p>
    <w:p w:rsidR="003C31C8" w:rsidRDefault="00B716F7">
      <w:pPr>
        <w:pStyle w:val="Tekstpodstawowy"/>
        <w:spacing w:after="0" w:line="360" w:lineRule="auto"/>
        <w:jc w:val="both"/>
        <w:rPr>
          <w:rFonts w:ascii="Times New Roman" w:hAnsi="Times New Roman"/>
          <w:color w:val="000000"/>
        </w:rPr>
      </w:pPr>
      <w:r>
        <w:rPr>
          <w:rStyle w:val="Uwydatnienie"/>
          <w:rFonts w:ascii="Times New Roman" w:hAnsi="Times New Roman"/>
          <w:color w:val="000000"/>
        </w:rPr>
        <w:tab/>
      </w:r>
      <w:r>
        <w:rPr>
          <w:rStyle w:val="Uwydatnienie"/>
          <w:rFonts w:ascii="Times New Roman" w:hAnsi="Times New Roman"/>
          <w:i w:val="0"/>
          <w:iCs w:val="0"/>
          <w:color w:val="000000"/>
        </w:rPr>
        <w:t>Możliwym rozwiązaniem, zadowalającym obie strony, może być np</w:t>
      </w:r>
      <w:r>
        <w:rPr>
          <w:rFonts w:ascii="Times New Roman" w:hAnsi="Times New Roman"/>
          <w:color w:val="000000"/>
        </w:rPr>
        <w:t xml:space="preserve"> zaproponowanie kłopotliwemu lokatorowi mniejszego  lokalu lub niższego standardu I tym samym z niższym czynszem, do którego będzie się on mógł dobrowolnie przeprowadzić. Można jednak przypuszczać, że wiele zadłużonych osób nie skorzysta nawet z takiej ugodowej propozycji licząc na to, że pandemia potrwa przykładowo przez kolejny rok, a rząd nie zmieni przepisu wstrzymującego eksmisje. Sposobem wpłynięcia na opornego najemcę może być złożenie pozwu dotyczącego eksmisji. Gdy wyrok eksmisyjny się uprawomocni, to </w:t>
      </w:r>
      <w:hyperlink r:id="rId12" w:history="1">
        <w:r>
          <w:rPr>
            <w:rStyle w:val="Hipercze"/>
            <w:rFonts w:hAnsi="Times New Roman"/>
            <w:color w:val="000000"/>
            <w:u w:val="none"/>
          </w:rPr>
          <w:t>komornik</w:t>
        </w:r>
      </w:hyperlink>
      <w:r>
        <w:rPr>
          <w:rFonts w:ascii="Times New Roman" w:hAnsi="Times New Roman"/>
          <w:color w:val="000000"/>
        </w:rPr>
        <w:t> będzie mógł wszcząć postępowanie eksmisyjne.</w:t>
      </w:r>
      <w:r>
        <w:rPr>
          <w:rFonts w:ascii="Times New Roman" w:hAnsi="Times New Roman"/>
          <w:color w:val="000000"/>
        </w:rPr>
        <w:br/>
      </w:r>
      <w:r>
        <w:rPr>
          <w:rFonts w:ascii="Times New Roman" w:hAnsi="Times New Roman"/>
          <w:color w:val="000000"/>
        </w:rPr>
        <w:br/>
      </w:r>
      <w:r>
        <w:rPr>
          <w:rFonts w:ascii="Times New Roman" w:hAnsi="Times New Roman"/>
          <w:color w:val="000000"/>
        </w:rPr>
        <w:tab/>
        <w:t>W sytuacji posiadania przez właściciela lokalu prawomocnego wyroku eksmisji, lokator będzie miał pewność, że zaraz po zakończeniu stanu zagrożenia epidemicznego oraz stanu epidemii zostanie podjęta próba opróżnienia lokalu przez komornika.  Zrozumiałe zatem wydaje się składanie, już w tym momencie , przez właścicieli mieszkań stosownych pozwów o eksmisję.</w:t>
      </w:r>
    </w:p>
    <w:p w:rsidR="00B716F7" w:rsidRDefault="00B716F7">
      <w:pPr>
        <w:pStyle w:val="Tekstpodstawowy"/>
        <w:spacing w:after="0" w:line="360" w:lineRule="auto"/>
        <w:jc w:val="both"/>
        <w:rPr>
          <w:rFonts w:hint="eastAsia"/>
        </w:rPr>
      </w:pPr>
      <w:r>
        <w:rPr>
          <w:rFonts w:ascii="Times New Roman" w:hAnsi="Times New Roman"/>
          <w:color w:val="000000"/>
        </w:rPr>
        <w:tab/>
        <w:t>Pandemia koronawirusa  wpłynęła też na licytacje </w:t>
      </w:r>
      <w:hyperlink r:id="rId13" w:history="1">
        <w:r>
          <w:rPr>
            <w:rStyle w:val="Hipercze"/>
            <w:rFonts w:hAnsi="Times New Roman"/>
            <w:color w:val="000000"/>
            <w:u w:val="none"/>
          </w:rPr>
          <w:t>nieruchomo</w:t>
        </w:r>
        <w:r>
          <w:rPr>
            <w:rStyle w:val="Hipercze"/>
            <w:rFonts w:hAnsi="Times New Roman"/>
            <w:color w:val="000000"/>
            <w:u w:val="none"/>
          </w:rPr>
          <w:t>ś</w:t>
        </w:r>
        <w:r>
          <w:rPr>
            <w:rStyle w:val="Hipercze"/>
            <w:rFonts w:hAnsi="Times New Roman"/>
            <w:color w:val="000000"/>
            <w:u w:val="none"/>
          </w:rPr>
          <w:t>ci</w:t>
        </w:r>
      </w:hyperlink>
      <w:r>
        <w:rPr>
          <w:rFonts w:ascii="Times New Roman" w:hAnsi="Times New Roman"/>
          <w:color w:val="000000"/>
        </w:rPr>
        <w:t>   prowadzonych przez komorników. Wiele osób nie zdaje sobie bowiem sprawy z tego, że pandemia wstrzymała też licytacje komornicze </w:t>
      </w:r>
      <w:hyperlink r:id="rId14" w:history="1">
        <w:r>
          <w:rPr>
            <w:rStyle w:val="Hipercze"/>
            <w:rFonts w:hAnsi="Times New Roman"/>
            <w:color w:val="000000"/>
            <w:u w:val="none"/>
          </w:rPr>
          <w:t>nieruchomo</w:t>
        </w:r>
        <w:r>
          <w:rPr>
            <w:rStyle w:val="Hipercze"/>
            <w:rFonts w:hAnsi="Times New Roman"/>
            <w:color w:val="000000"/>
            <w:u w:val="none"/>
          </w:rPr>
          <w:t>ś</w:t>
        </w:r>
        <w:r>
          <w:rPr>
            <w:rStyle w:val="Hipercze"/>
            <w:rFonts w:hAnsi="Times New Roman"/>
            <w:color w:val="000000"/>
            <w:u w:val="none"/>
          </w:rPr>
          <w:t>ci</w:t>
        </w:r>
      </w:hyperlink>
      <w:r>
        <w:rPr>
          <w:rFonts w:ascii="Times New Roman" w:hAnsi="Times New Roman"/>
          <w:color w:val="000000"/>
        </w:rPr>
        <w:t> mieszkaniowych.</w:t>
      </w:r>
    </w:p>
    <w:sectPr w:rsidR="00B716F7">
      <w:pgSz w:w="12240" w:h="15840"/>
      <w:pgMar w:top="1134" w:right="1134" w:bottom="1134"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E2"/>
    <w:rsid w:val="003C31C8"/>
    <w:rsid w:val="0051298C"/>
    <w:rsid w:val="009B4EE2"/>
    <w:rsid w:val="00B71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pPr>
    <w:rPr>
      <w:rFonts w:ascii="Liberation Serif" w:eastAsia="SimSun" w:hAnsi="Liberation Serif" w:cs="Mangal"/>
      <w:color w:val="00000A"/>
      <w:kern w:val="1"/>
      <w:sz w:val="24"/>
      <w:szCs w:val="24"/>
      <w:lang w:val="en-US" w:eastAsia="hi-IN" w:bidi="hi-IN"/>
    </w:rPr>
  </w:style>
  <w:style w:type="paragraph" w:styleId="Nagwek1">
    <w:name w:val="heading 1"/>
    <w:basedOn w:val="Nagwek10"/>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10"/>
    <w:next w:val="Tekstpodstawowy"/>
    <w:qFormat/>
    <w:pPr>
      <w:numPr>
        <w:ilvl w:val="1"/>
        <w:numId w:val="1"/>
      </w:numPr>
      <w:spacing w:before="200"/>
      <w:outlineLvl w:val="1"/>
    </w:pPr>
    <w:rPr>
      <w:rFonts w:ascii="Liberation Serif" w:eastAsia="NSimSun" w:hAnsi="Liberation Serif" w:cs="Arial"/>
      <w:b/>
      <w:bCs/>
      <w:sz w:val="36"/>
      <w:szCs w:val="36"/>
    </w:rPr>
  </w:style>
  <w:style w:type="paragraph" w:styleId="Nagwek3">
    <w:name w:val="heading 3"/>
    <w:basedOn w:val="Nagwek10"/>
    <w:next w:val="Tekstpodstawowy"/>
    <w:qFormat/>
    <w:pPr>
      <w:numPr>
        <w:ilvl w:val="2"/>
        <w:numId w:val="1"/>
      </w:numPr>
      <w:outlineLvl w:val="2"/>
    </w:pPr>
    <w:rPr>
      <w:rFonts w:ascii="Times New Roman" w:eastAsia="SimSun" w:hAnsi="Times New Roman"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lang w:val="pl-PL" w:eastAsia="pl-PL" w:bidi="pl-PL"/>
    </w:rPr>
  </w:style>
  <w:style w:type="character" w:customStyle="1" w:styleId="Mocnewyrnione">
    <w:name w:val="Mocne wyróżnione"/>
    <w:rPr>
      <w:b/>
      <w:bCs/>
    </w:rPr>
  </w:style>
  <w:style w:type="character" w:styleId="Uwydatnienie">
    <w:name w:val="Emphasis"/>
    <w:qFormat/>
    <w:rPr>
      <w:i/>
      <w:iCs/>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pPr>
    <w:rPr>
      <w:rFonts w:ascii="Liberation Serif" w:eastAsia="SimSun" w:hAnsi="Liberation Serif" w:cs="Mangal"/>
      <w:color w:val="00000A"/>
      <w:kern w:val="1"/>
      <w:sz w:val="24"/>
      <w:szCs w:val="24"/>
      <w:lang w:val="en-US" w:eastAsia="hi-IN" w:bidi="hi-IN"/>
    </w:rPr>
  </w:style>
  <w:style w:type="paragraph" w:styleId="Nagwek1">
    <w:name w:val="heading 1"/>
    <w:basedOn w:val="Nagwek10"/>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10"/>
    <w:next w:val="Tekstpodstawowy"/>
    <w:qFormat/>
    <w:pPr>
      <w:numPr>
        <w:ilvl w:val="1"/>
        <w:numId w:val="1"/>
      </w:numPr>
      <w:spacing w:before="200"/>
      <w:outlineLvl w:val="1"/>
    </w:pPr>
    <w:rPr>
      <w:rFonts w:ascii="Liberation Serif" w:eastAsia="NSimSun" w:hAnsi="Liberation Serif" w:cs="Arial"/>
      <w:b/>
      <w:bCs/>
      <w:sz w:val="36"/>
      <w:szCs w:val="36"/>
    </w:rPr>
  </w:style>
  <w:style w:type="paragraph" w:styleId="Nagwek3">
    <w:name w:val="heading 3"/>
    <w:basedOn w:val="Nagwek10"/>
    <w:next w:val="Tekstpodstawowy"/>
    <w:qFormat/>
    <w:pPr>
      <w:numPr>
        <w:ilvl w:val="2"/>
        <w:numId w:val="1"/>
      </w:numPr>
      <w:outlineLvl w:val="2"/>
    </w:pPr>
    <w:rPr>
      <w:rFonts w:ascii="Times New Roman" w:eastAsia="SimSun" w:hAnsi="Times New Roman"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lang w:val="pl-PL" w:eastAsia="pl-PL" w:bidi="pl-PL"/>
    </w:rPr>
  </w:style>
  <w:style w:type="character" w:customStyle="1" w:styleId="Mocnewyrnione">
    <w:name w:val="Mocne wyróżnione"/>
    <w:rPr>
      <w:b/>
      <w:bCs/>
    </w:rPr>
  </w:style>
  <w:style w:type="character" w:styleId="Uwydatnienie">
    <w:name w:val="Emphasis"/>
    <w:qFormat/>
    <w:rPr>
      <w:i/>
      <w:iCs/>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orzad.infor.pl/tematy/drogi/" TargetMode="External"/><Relationship Id="rId13" Type="http://schemas.openxmlformats.org/officeDocument/2006/relationships/hyperlink" Target="https://ksiegowosc.infor.pl/tematy/nieruchomosci/" TargetMode="External"/><Relationship Id="rId3" Type="http://schemas.microsoft.com/office/2007/relationships/stylesWithEffects" Target="stylesWithEffects.xml"/><Relationship Id="rId7" Type="http://schemas.openxmlformats.org/officeDocument/2006/relationships/hyperlink" Target="https://ksiegowosc.infor.pl/tematy/covid-19-/" TargetMode="External"/><Relationship Id="rId12" Type="http://schemas.openxmlformats.org/officeDocument/2006/relationships/hyperlink" Target="https://mojafirma.infor.pl/tematy/komorn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siegowosc.infor.pl/tematy/koronawirus/" TargetMode="External"/><Relationship Id="rId11" Type="http://schemas.openxmlformats.org/officeDocument/2006/relationships/hyperlink" Target="https://mojafirma.infor.pl/tematy/lok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morzad.infor.pl/tematy/gmina/" TargetMode="External"/><Relationship Id="rId4" Type="http://schemas.openxmlformats.org/officeDocument/2006/relationships/settings" Target="settings.xml"/><Relationship Id="rId9" Type="http://schemas.openxmlformats.org/officeDocument/2006/relationships/hyperlink" Target="https://mojafirma.infor.pl/tematy/wynajem/" TargetMode="External"/><Relationship Id="rId14" Type="http://schemas.openxmlformats.org/officeDocument/2006/relationships/hyperlink" Target="https://samorzad.infor.pl/tematy/nieruchom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6579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cp:lastPrinted>1900-12-31T22:00:00Z</cp:lastPrinted>
  <dcterms:created xsi:type="dcterms:W3CDTF">2021-04-20T09:49:00Z</dcterms:created>
  <dcterms:modified xsi:type="dcterms:W3CDTF">2021-04-20T09:49:00Z</dcterms:modified>
</cp:coreProperties>
</file>