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0F3" w:rsidRDefault="00E34FBB">
      <w:pPr>
        <w:spacing w:line="360" w:lineRule="auto"/>
        <w:rPr>
          <w:b/>
          <w:bCs/>
          <w:color w:val="000000"/>
        </w:rPr>
      </w:pPr>
      <w:bookmarkStart w:id="0" w:name="_GoBack"/>
      <w:bookmarkEnd w:id="0"/>
      <w:r>
        <w:rPr>
          <w:b/>
          <w:bCs/>
          <w:color w:val="000000"/>
        </w:rPr>
        <w:t>1) Co oznacza egzekucja z aktu notarialnego ?</w:t>
      </w:r>
    </w:p>
    <w:p w:rsidR="006F20F3" w:rsidRDefault="006F20F3">
      <w:pPr>
        <w:spacing w:line="360" w:lineRule="auto"/>
        <w:rPr>
          <w:b/>
          <w:bCs/>
          <w:color w:val="000000"/>
        </w:rPr>
      </w:pPr>
    </w:p>
    <w:p w:rsidR="006F20F3" w:rsidRDefault="00E34FBB">
      <w:pPr>
        <w:spacing w:line="360" w:lineRule="auto"/>
        <w:jc w:val="both"/>
        <w:rPr>
          <w:color w:val="000000"/>
        </w:rPr>
      </w:pPr>
      <w:r>
        <w:rPr>
          <w:color w:val="000000"/>
        </w:rPr>
        <w:tab/>
        <w:t>Akt notarialny może być  tytułem egzekucyjnym, a także tytułem wykonawczym. Za pośrednictwem  oświadczenia o poddaniu się egzekucji dłużnik nadaje wierzycielowi swoiste uprawnienie, z którym nie wiąże się żaden obowiązek wierzyciela. Wynika z niego, iż  wierzyciel nie musi występować z wnioskiem o nadanie klauzuli wykonalności na </w:t>
      </w:r>
      <w:hyperlink r:id="rId6" w:history="1">
        <w:r>
          <w:rPr>
            <w:rStyle w:val="Hipercze"/>
            <w:color w:val="000000"/>
            <w:u w:val="none"/>
          </w:rPr>
          <w:t>akt notarialny</w:t>
        </w:r>
      </w:hyperlink>
      <w:r>
        <w:rPr>
          <w:color w:val="000000"/>
        </w:rPr>
        <w:t> i może wszcząć postępowanie sądowe na zasadach ogólnych.</w:t>
      </w:r>
    </w:p>
    <w:p w:rsidR="006F20F3" w:rsidRDefault="00E34FBB">
      <w:pPr>
        <w:pStyle w:val="Tekstpodstawowy"/>
        <w:widowControl/>
        <w:spacing w:after="0" w:line="360" w:lineRule="auto"/>
        <w:jc w:val="both"/>
        <w:rPr>
          <w:rStyle w:val="Pogrubienie"/>
          <w:b w:val="0"/>
          <w:bCs w:val="0"/>
          <w:color w:val="000000"/>
        </w:rPr>
      </w:pPr>
      <w:r>
        <w:rPr>
          <w:color w:val="000000"/>
        </w:rPr>
        <w:tab/>
        <w:t>Jeżeli jednak egzekucja taka okaże się bezskuteczna, to wierzyciel będzie zmuszony wystąpić z powództwem na zasadach ogólnych, aby uzyskać nowy tytuł egzekucyjny, uprawniający do prowadzenia egzekucji świadczenia bez ograniczeń co do sposobu egzekucji.</w:t>
      </w:r>
    </w:p>
    <w:p w:rsidR="006F20F3" w:rsidRDefault="00E34FBB">
      <w:pPr>
        <w:pStyle w:val="Tekstpodstawowy"/>
        <w:spacing w:line="360" w:lineRule="auto"/>
        <w:jc w:val="both"/>
        <w:rPr>
          <w:color w:val="000000"/>
        </w:rPr>
      </w:pPr>
      <w:r>
        <w:rPr>
          <w:rStyle w:val="Pogrubienie"/>
          <w:b w:val="0"/>
          <w:bCs w:val="0"/>
          <w:color w:val="000000"/>
        </w:rPr>
        <w:tab/>
        <w:t>W takim akcie notarialnym można określić, że dłużnik poddaje się egzekucji tylko co do części swojego majątku albo co do określonego sposobu egzekucji (np. z rachunku bankowego).</w:t>
      </w:r>
    </w:p>
    <w:p w:rsidR="006F20F3" w:rsidRDefault="00E34FBB">
      <w:pPr>
        <w:pStyle w:val="Tekstpodstawowy"/>
        <w:widowControl/>
        <w:spacing w:after="0" w:line="360" w:lineRule="auto"/>
        <w:jc w:val="both"/>
        <w:rPr>
          <w:color w:val="000000"/>
        </w:rPr>
      </w:pPr>
      <w:r>
        <w:rPr>
          <w:color w:val="000000"/>
        </w:rPr>
        <w:tab/>
        <w:t>Warto podkreślić, iż na podstawie aktu notarialnego zaopatrzonego w klauzulę wykonalności dopuszczalne jest prowadzenie </w:t>
      </w:r>
      <w:hyperlink r:id="rId7" w:history="1">
        <w:r>
          <w:rPr>
            <w:rStyle w:val="Hipercze"/>
            <w:color w:val="000000"/>
            <w:u w:val="none"/>
          </w:rPr>
          <w:t>egzekucji</w:t>
        </w:r>
      </w:hyperlink>
      <w:r>
        <w:rPr>
          <w:color w:val="000000"/>
        </w:rPr>
        <w:t xml:space="preserve"> tylko do wysokości kwoty wymienionej w akcie – nie zaś do kwoty rzeczywiście uzgodnionej przez strony umowy. </w:t>
      </w:r>
    </w:p>
    <w:p w:rsidR="006F20F3" w:rsidRDefault="00E34FBB">
      <w:pPr>
        <w:pStyle w:val="Nagwek2"/>
        <w:widowControl/>
        <w:spacing w:line="360" w:lineRule="auto"/>
        <w:jc w:val="both"/>
        <w:rPr>
          <w:b w:val="0"/>
          <w:bCs w:val="0"/>
          <w:color w:val="000000"/>
          <w:sz w:val="24"/>
          <w:szCs w:val="24"/>
        </w:rPr>
      </w:pPr>
      <w:r>
        <w:rPr>
          <w:b w:val="0"/>
          <w:bCs w:val="0"/>
          <w:color w:val="000000"/>
          <w:sz w:val="24"/>
          <w:szCs w:val="24"/>
        </w:rPr>
        <w:t xml:space="preserve">              Dobrowolne poddanie się egzekucji posiada tą zaletę, iż pozwala na  znaczne skrócenie i uproszczenie procesu windykacji. Złożenie takiego oświadczenia pozytywnie wpływa na motywację dłużników do spełnienia świadczeń. Mają oni bowiem świadomość, że w przypadku nierzetelnego wykonywania obowiązków egzekucja przeciwko nim może zostać przeprowadzona nawet bez uprzedniego postępowania sądowego.</w:t>
      </w:r>
    </w:p>
    <w:p w:rsidR="006F20F3" w:rsidRDefault="00E34FBB">
      <w:pPr>
        <w:pStyle w:val="Tekstpodstawowy"/>
        <w:widowControl/>
        <w:spacing w:after="0" w:line="360" w:lineRule="auto"/>
        <w:jc w:val="both"/>
        <w:rPr>
          <w:color w:val="000000"/>
        </w:rPr>
      </w:pPr>
      <w:r>
        <w:rPr>
          <w:color w:val="000000"/>
        </w:rPr>
        <w:tab/>
        <w:t>Istotne jest, aby pamiętać o konieczności zachowania bardzo wysokich standardów w zakresie formy i treści aktu notarialnego zawierającego </w:t>
      </w:r>
      <w:hyperlink r:id="rId8" w:history="1">
        <w:r>
          <w:rPr>
            <w:rStyle w:val="Hipercze"/>
            <w:color w:val="000000"/>
            <w:u w:val="none"/>
          </w:rPr>
          <w:t>oświadczenie dłużnika</w:t>
        </w:r>
      </w:hyperlink>
      <w:r>
        <w:rPr>
          <w:color w:val="000000"/>
        </w:rPr>
        <w:t> o poddaniu się egzekucji. Najbardziej zalecanym rozwiązaniem byłoby opracowanie szczegółowego projektu oświadczenia dłużnika już w momencie zawierania przez strony umowy. Pozwoli to na późniejszym etapie wyeliminować możliwość wystąpienia rozbieżności pomiędzy wolą wierzyciela, a treścią złożonego przez dłużnika oświadczenia, zlikwiduje również niebezpieczeństwo odmowy nadania klauzuli wykonalności na akt notarialny przez sąd.</w:t>
      </w:r>
    </w:p>
    <w:p w:rsidR="006F20F3" w:rsidRDefault="006F20F3">
      <w:pPr>
        <w:spacing w:line="360" w:lineRule="auto"/>
        <w:jc w:val="both"/>
        <w:rPr>
          <w:color w:val="000000"/>
        </w:rPr>
      </w:pPr>
    </w:p>
    <w:p w:rsidR="006F20F3" w:rsidRDefault="006F20F3">
      <w:pPr>
        <w:spacing w:line="360" w:lineRule="auto"/>
        <w:jc w:val="both"/>
        <w:rPr>
          <w:color w:val="000000"/>
        </w:rPr>
      </w:pPr>
    </w:p>
    <w:p w:rsidR="006F20F3" w:rsidRDefault="00E34FBB">
      <w:pPr>
        <w:numPr>
          <w:ilvl w:val="0"/>
          <w:numId w:val="2"/>
        </w:numPr>
        <w:spacing w:line="360" w:lineRule="auto"/>
        <w:jc w:val="both"/>
        <w:rPr>
          <w:b/>
          <w:bCs/>
          <w:color w:val="000000"/>
        </w:rPr>
      </w:pPr>
      <w:r>
        <w:rPr>
          <w:b/>
          <w:bCs/>
          <w:color w:val="000000"/>
        </w:rPr>
        <w:t>Czy można złożyć reklamację na usługę stomatologiczną  czy też pozew o odszkodowanie za błąd medyczny?</w:t>
      </w:r>
    </w:p>
    <w:p w:rsidR="006F20F3" w:rsidRDefault="006F20F3">
      <w:pPr>
        <w:spacing w:line="360" w:lineRule="auto"/>
        <w:jc w:val="both"/>
        <w:rPr>
          <w:b/>
          <w:bCs/>
          <w:color w:val="000000"/>
        </w:rPr>
      </w:pPr>
    </w:p>
    <w:p w:rsidR="006F20F3" w:rsidRDefault="00E34FBB">
      <w:pPr>
        <w:spacing w:line="360" w:lineRule="auto"/>
        <w:jc w:val="both"/>
        <w:rPr>
          <w:color w:val="000000"/>
        </w:rPr>
      </w:pPr>
      <w:r>
        <w:rPr>
          <w:color w:val="000000"/>
        </w:rPr>
        <w:tab/>
        <w:t xml:space="preserve">Współcześnie coraz więcej osób posiada świadomość swoich praw, w tym praw pacjenta. Niestety w wielu przypadkach , mimo iż pacjenci posiadają wiedzę, iż mają swoje prawa to nie do </w:t>
      </w:r>
      <w:r>
        <w:rPr>
          <w:color w:val="000000"/>
        </w:rPr>
        <w:lastRenderedPageBreak/>
        <w:t>końca wiedzą jakie to są prawa  i jakie uprawnienia z tym związane posiadają.</w:t>
      </w:r>
    </w:p>
    <w:p w:rsidR="006F20F3" w:rsidRDefault="00E34FBB">
      <w:pPr>
        <w:spacing w:line="360" w:lineRule="auto"/>
        <w:jc w:val="both"/>
        <w:rPr>
          <w:color w:val="000000"/>
        </w:rPr>
      </w:pPr>
      <w:r>
        <w:rPr>
          <w:color w:val="000000"/>
        </w:rPr>
        <w:tab/>
        <w:t>Na wstępie należy podkreślić, iż w ramach odpowiedzialności cywilnej lekarz stomatolog odpowiada przed pacjentem zarówno za prawidłowe wykonanie </w:t>
      </w:r>
      <w:hyperlink r:id="rId9" w:history="1">
        <w:r>
          <w:rPr>
            <w:rStyle w:val="Hipercze"/>
            <w:color w:val="000000"/>
            <w:u w:val="none"/>
          </w:rPr>
          <w:t>umowy</w:t>
        </w:r>
      </w:hyperlink>
      <w:r>
        <w:rPr>
          <w:color w:val="000000"/>
        </w:rPr>
        <w:t> zawartej z pacjentem, ale także za udzielanie świadczeń zdrowotnych w zgodzie ze sztuką lekarską i aktualną wiedzą medyczną.</w:t>
      </w:r>
      <w:bookmarkStart w:id="1" w:name="aswift_1_anchor"/>
      <w:bookmarkStart w:id="2" w:name="aswift_1_expand"/>
      <w:bookmarkEnd w:id="1"/>
      <w:bookmarkEnd w:id="2"/>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Każdy pacjent, który  jest przekonany że usługa medyczna została wykonana niezgodnie z umową, ma prawo do skorzystania z uprawnień z tytułu rękojmi za wady dzieła. Zatem pacjent może złożyć reklamację dotyczącą wykonania usługi. Sposób i forma reklamacji przeważnie ustalona jest w regulaminie organizacyjnym placówki, niekiedy informacje takie udostępniane są na tablicy ogłoszeń w gabinecie. Co do zasady pacjent może reklamacje dentyście złożyć ustnie, pisemnie, a nawet telefonicznie.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Jakie uprawnienia przysługują pacjentowi w związku ze złożeniem </w:t>
      </w:r>
      <w:proofErr w:type="spellStart"/>
      <w:r>
        <w:rPr>
          <w:color w:val="000000"/>
        </w:rPr>
        <w:t>reklamcji</w:t>
      </w:r>
      <w:proofErr w:type="spellEnd"/>
      <w:r>
        <w:rPr>
          <w:color w:val="000000"/>
        </w:rPr>
        <w:t>?  Każdy pacjent ma prawo do:</w:t>
      </w:r>
    </w:p>
    <w:p w:rsidR="006F20F3" w:rsidRDefault="00E34FBB">
      <w:pPr>
        <w:pStyle w:val="Tekstpodstawowy"/>
        <w:widowControl/>
        <w:numPr>
          <w:ilvl w:val="0"/>
          <w:numId w:val="3"/>
        </w:numPr>
        <w:tabs>
          <w:tab w:val="left" w:pos="375"/>
        </w:tabs>
        <w:spacing w:after="0" w:line="384" w:lineRule="auto"/>
        <w:jc w:val="both"/>
        <w:rPr>
          <w:color w:val="000000"/>
        </w:rPr>
      </w:pPr>
      <w:r>
        <w:rPr>
          <w:color w:val="000000"/>
        </w:rPr>
        <w:t>żądania wymiany rzeczy na wolną od wad albo usunięcia wady – a to wszystko w rozsądnym czasie</w:t>
      </w:r>
    </w:p>
    <w:p w:rsidR="006F20F3" w:rsidRDefault="00E34FBB">
      <w:pPr>
        <w:pStyle w:val="Tekstpodstawowy"/>
        <w:widowControl/>
        <w:numPr>
          <w:ilvl w:val="0"/>
          <w:numId w:val="3"/>
        </w:numPr>
        <w:tabs>
          <w:tab w:val="left" w:pos="375"/>
        </w:tabs>
        <w:spacing w:after="0" w:line="384" w:lineRule="auto"/>
        <w:jc w:val="both"/>
        <w:rPr>
          <w:color w:val="000000"/>
        </w:rPr>
      </w:pPr>
      <w:r>
        <w:rPr>
          <w:color w:val="000000"/>
        </w:rPr>
        <w:t>złożenia oświadczenie o obniżeniu ceny albo odstąpieniu od umowy, chyba że wada zostanie usunięta lub rzecz wymieniona. Nie dotyczy to jednak sytuacji gdy usługi naprawcze były już wykonywane.</w:t>
      </w:r>
    </w:p>
    <w:p w:rsidR="006F20F3" w:rsidRDefault="00E34FBB">
      <w:pPr>
        <w:pStyle w:val="Tekstpodstawowy"/>
        <w:widowControl/>
        <w:spacing w:after="0" w:line="384" w:lineRule="auto"/>
        <w:rPr>
          <w:rStyle w:val="Hipercze"/>
          <w:color w:val="000000"/>
          <w:u w:val="none"/>
        </w:rPr>
      </w:pPr>
      <w:r>
        <w:rPr>
          <w:color w:val="000000"/>
        </w:rPr>
        <w:tab/>
        <w:t>Należy podkreślić, iż w sytuacji gdy  pacjent zażądał wymiany rzeczy lub usunięcia wady albo złożył oświadczenie o obniżeniu ceny, określając kwotę, o którą cena ma być obniżona, </w:t>
      </w:r>
      <w:r>
        <w:rPr>
          <w:rStyle w:val="Pogrubienie"/>
          <w:b w:val="0"/>
          <w:bCs w:val="0"/>
          <w:color w:val="000000"/>
        </w:rPr>
        <w:t xml:space="preserve">a stomatolog nie  </w:t>
      </w:r>
      <w:proofErr w:type="spellStart"/>
      <w:r>
        <w:rPr>
          <w:rStyle w:val="Pogrubienie"/>
          <w:b w:val="0"/>
          <w:bCs w:val="0"/>
          <w:color w:val="000000"/>
        </w:rPr>
        <w:t>odnióśł</w:t>
      </w:r>
      <w:proofErr w:type="spellEnd"/>
      <w:r>
        <w:rPr>
          <w:rStyle w:val="Pogrubienie"/>
          <w:b w:val="0"/>
          <w:bCs w:val="0"/>
          <w:color w:val="000000"/>
        </w:rPr>
        <w:t xml:space="preserve"> się do tego żądania w terminie czternastu dni, uważa się, że żądanie to uznał za uzasadnione.</w:t>
      </w:r>
    </w:p>
    <w:p w:rsidR="006F20F3" w:rsidRDefault="00E34FBB">
      <w:pPr>
        <w:pStyle w:val="Tekstpodstawowy"/>
        <w:widowControl/>
        <w:spacing w:after="0" w:line="384" w:lineRule="auto"/>
        <w:jc w:val="both"/>
        <w:rPr>
          <w:color w:val="000000"/>
        </w:rPr>
      </w:pPr>
      <w:r>
        <w:rPr>
          <w:rStyle w:val="Hipercze"/>
          <w:color w:val="000000"/>
          <w:u w:val="none"/>
        </w:rPr>
        <w:tab/>
        <w:t>Jakie są ustawowe terminy na dochodzenie swoich  praw związanych z rękojmią? Każdy pa</w:t>
      </w:r>
      <w:r>
        <w:rPr>
          <w:color w:val="000000"/>
        </w:rPr>
        <w:t>cjent  ma prawo dochodzić swych praw z tytułu rękojmi  w terminie do dwóch lat od wydania mu dzieła, czyli wykonania usługi stomatologicznej - co prawda zasadą jest, że roszczenia z tytułu rękojmi mogą być dochodzone w ciągu roku od stwierdzenia wady, ale nie dłużej niż w ciągu dwóch lat od wydania dzieła, ale w przypadku konsumentów (a pacjent jest konsumentem) bieg terminu przedawnienia nie może się skończyć przed upływem dwóch lat od wydania dzieła.</w:t>
      </w:r>
      <w:r>
        <w:rPr>
          <w:color w:val="000000"/>
        </w:rPr>
        <w:tab/>
      </w:r>
      <w:r>
        <w:rPr>
          <w:color w:val="000000"/>
        </w:rPr>
        <w:tab/>
        <w:t xml:space="preserve">Wymaga podkreślenia, iż oprócz podstawowych roszczeń  z tytułu rękojmi za wady dzieła, pacjentowi mogą przysługiwać także roszczenia z tytułu, udzielonej przez lekarza lub producenta wyrobu medycznego, gwarancji. Jednak sposób uregulowania tych uprawnień uzależniony jest od warunków udzielonej gwarancji (warunki te ustala dentysta – w przypadku gwarancji na usługę stomatologiczną, lub producent – w przypadku gwarancji na produkt, np. implant czy protezę). Istotne jest iż to pacjent  podejmuje decyzję, czy skorzystać z uprawnień gwarancyjnych czy z </w:t>
      </w:r>
      <w:r>
        <w:rPr>
          <w:color w:val="000000"/>
        </w:rPr>
        <w:lastRenderedPageBreak/>
        <w:t>tytułu rękojmi.</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Zdarzają się jednak takie sytuacje, że roszczenia  przysługujące pacjentowi z tytułu rękojmi czy gwarancji nie są wystarczające i satysfakcjonujące dla pacjenta. Wtedy lekarz dentysta  ponosi względem pacjenta także odpowiedzialność odszkodowawczą za tzw. „błąd medyczny”. Wówczas uprawnienia pacjenta wobec dentysty polegają na dochodzeniu od stomatologa:</w:t>
      </w:r>
    </w:p>
    <w:p w:rsidR="006F20F3" w:rsidRDefault="00E34FBB">
      <w:pPr>
        <w:pStyle w:val="Tekstpodstawowy"/>
        <w:widowControl/>
        <w:numPr>
          <w:ilvl w:val="0"/>
          <w:numId w:val="4"/>
        </w:numPr>
        <w:tabs>
          <w:tab w:val="left" w:pos="375"/>
        </w:tabs>
        <w:spacing w:after="0" w:line="384" w:lineRule="auto"/>
        <w:jc w:val="both"/>
        <w:rPr>
          <w:color w:val="000000"/>
        </w:rPr>
      </w:pPr>
      <w:r>
        <w:rPr>
          <w:color w:val="000000"/>
        </w:rPr>
        <w:t>zapłaty odszkodowania - naprawienie szkody obejmuje wszelkie wynikłe z powodu „błędu” koszty, np. koszty leczenia, koszty potrzebne na przeprowadzenie leczenia naprawczego</w:t>
      </w:r>
    </w:p>
    <w:p w:rsidR="006F20F3" w:rsidRDefault="00E34FBB">
      <w:pPr>
        <w:pStyle w:val="Tekstpodstawowy"/>
        <w:widowControl/>
        <w:numPr>
          <w:ilvl w:val="0"/>
          <w:numId w:val="4"/>
        </w:numPr>
        <w:tabs>
          <w:tab w:val="left" w:pos="375"/>
        </w:tabs>
        <w:spacing w:after="0" w:line="384" w:lineRule="auto"/>
        <w:jc w:val="both"/>
        <w:rPr>
          <w:color w:val="000000"/>
        </w:rPr>
      </w:pPr>
      <w:r>
        <w:rPr>
          <w:color w:val="000000"/>
        </w:rPr>
        <w:t>zapłaty zadośćuczynienia za doznaną krzywdę niematerialną</w:t>
      </w:r>
    </w:p>
    <w:p w:rsidR="006F20F3" w:rsidRDefault="00E34FBB">
      <w:pPr>
        <w:pStyle w:val="Tekstpodstawowy"/>
        <w:widowControl/>
        <w:numPr>
          <w:ilvl w:val="0"/>
          <w:numId w:val="4"/>
        </w:numPr>
        <w:tabs>
          <w:tab w:val="left" w:pos="375"/>
        </w:tabs>
        <w:spacing w:after="0" w:line="384" w:lineRule="auto"/>
        <w:jc w:val="both"/>
        <w:rPr>
          <w:color w:val="000000"/>
        </w:rPr>
      </w:pPr>
      <w:r>
        <w:rPr>
          <w:color w:val="000000"/>
        </w:rPr>
        <w:t>ew. zapłaty renty – w sytuacjach gdy pacjent utracił zdolność do pracy zarobkowe (w całości lub w części), zwiększyły się jego potrzeby lub zmniejszyły się widoki powodzenia na przyszłość</w:t>
      </w:r>
    </w:p>
    <w:p w:rsidR="006F20F3" w:rsidRDefault="00E34FBB">
      <w:pPr>
        <w:pStyle w:val="Tekstpodstawowy"/>
        <w:widowControl/>
        <w:numPr>
          <w:ilvl w:val="0"/>
          <w:numId w:val="4"/>
        </w:numPr>
        <w:tabs>
          <w:tab w:val="left" w:pos="375"/>
        </w:tabs>
        <w:spacing w:after="0" w:line="384" w:lineRule="auto"/>
        <w:jc w:val="both"/>
        <w:rPr>
          <w:color w:val="000000"/>
        </w:rPr>
      </w:pPr>
      <w:r>
        <w:rPr>
          <w:color w:val="000000"/>
        </w:rPr>
        <w:t>ustalenia odpowiedzialności dentysty / placówki na przyszłość</w:t>
      </w:r>
    </w:p>
    <w:p w:rsidR="006F20F3" w:rsidRDefault="00E34FBB">
      <w:pPr>
        <w:pStyle w:val="Tekstpodstawowy"/>
        <w:widowControl/>
        <w:spacing w:after="0" w:line="384" w:lineRule="auto"/>
        <w:jc w:val="both"/>
        <w:rPr>
          <w:bCs/>
          <w:color w:val="000000"/>
        </w:rPr>
      </w:pPr>
      <w:r>
        <w:rPr>
          <w:color w:val="000000"/>
        </w:rPr>
        <w:tab/>
        <w:t>Należy podkreślić, iż  nie każde niepowodzenie medyczne będzie błędem medycznym.  Dentysta nie będzie ponosił odpowiedzialności za powstałe powikłania przy wykonywaniu usługi stomatologicznej (czyli takie negatywne następstwa, które powstają pomimo prawidłowego wykonania zabiegu).</w:t>
      </w:r>
    </w:p>
    <w:p w:rsidR="006F20F3" w:rsidRDefault="00E34FBB">
      <w:pPr>
        <w:pStyle w:val="Tekstpodstawowy"/>
        <w:spacing w:line="360" w:lineRule="auto"/>
        <w:jc w:val="both"/>
        <w:rPr>
          <w:color w:val="000000"/>
        </w:rPr>
      </w:pPr>
      <w:r>
        <w:rPr>
          <w:bCs/>
          <w:color w:val="000000"/>
        </w:rPr>
        <w:tab/>
        <w:t>O odpowiedzialności deliktowej możemy mówić, gdy zaistnieją następujące przesłanki:</w:t>
      </w:r>
    </w:p>
    <w:p w:rsidR="006F20F3" w:rsidRDefault="00E34FBB">
      <w:pPr>
        <w:pStyle w:val="Tekstpodstawowy"/>
        <w:widowControl/>
        <w:numPr>
          <w:ilvl w:val="0"/>
          <w:numId w:val="5"/>
        </w:numPr>
        <w:tabs>
          <w:tab w:val="left" w:pos="375"/>
        </w:tabs>
        <w:spacing w:after="0" w:line="384" w:lineRule="auto"/>
        <w:jc w:val="both"/>
        <w:rPr>
          <w:color w:val="000000"/>
        </w:rPr>
      </w:pPr>
      <w:r>
        <w:rPr>
          <w:color w:val="000000"/>
        </w:rPr>
        <w:t>zdarzenie wyrządzające szkodę – działanie lub zaniechanie lekarza, które ma charakter zawiniony i bezprawny</w:t>
      </w:r>
    </w:p>
    <w:p w:rsidR="006F20F3" w:rsidRDefault="00E34FBB">
      <w:pPr>
        <w:pStyle w:val="Tekstpodstawowy"/>
        <w:widowControl/>
        <w:numPr>
          <w:ilvl w:val="0"/>
          <w:numId w:val="5"/>
        </w:numPr>
        <w:tabs>
          <w:tab w:val="left" w:pos="375"/>
        </w:tabs>
        <w:spacing w:after="0" w:line="384" w:lineRule="auto"/>
        <w:jc w:val="both"/>
        <w:rPr>
          <w:color w:val="000000"/>
        </w:rPr>
      </w:pPr>
      <w:r>
        <w:rPr>
          <w:color w:val="000000"/>
        </w:rPr>
        <w:t>szkoda majątkowa lub / i krzywda niemajątkowa</w:t>
      </w:r>
    </w:p>
    <w:p w:rsidR="006F20F3" w:rsidRDefault="00E34FBB">
      <w:pPr>
        <w:pStyle w:val="Tekstpodstawowy"/>
        <w:widowControl/>
        <w:numPr>
          <w:ilvl w:val="0"/>
          <w:numId w:val="5"/>
        </w:numPr>
        <w:tabs>
          <w:tab w:val="left" w:pos="375"/>
        </w:tabs>
        <w:spacing w:after="0" w:line="384" w:lineRule="auto"/>
        <w:jc w:val="both"/>
        <w:rPr>
          <w:color w:val="000000"/>
        </w:rPr>
      </w:pPr>
      <w:r>
        <w:rPr>
          <w:color w:val="000000"/>
        </w:rPr>
        <w:t>adekwatny związek przyczynowy pomiędzy działaniem lekarza dentysty, a uszczerbkiem na zdrowiu pacjenta</w:t>
      </w:r>
    </w:p>
    <w:p w:rsidR="006F20F3" w:rsidRDefault="00E34FBB">
      <w:pPr>
        <w:pStyle w:val="Tekstpodstawowy"/>
        <w:widowControl/>
        <w:spacing w:after="0" w:line="384" w:lineRule="auto"/>
        <w:jc w:val="both"/>
        <w:rPr>
          <w:color w:val="000000"/>
        </w:rPr>
      </w:pPr>
      <w:r>
        <w:rPr>
          <w:color w:val="000000"/>
        </w:rPr>
        <w:tab/>
        <w:t>To na pacjencie ciąży ciężar udowodnienia, że lekarz ponosi odpowiedzialność odszkodowawczą . Pacjent w postępowaniu sądowym musi wykazać, że na skutek działania lub zaniechania dentysty powstała u pacjenta szkoda i ewentualnie krzywda. Następnie  pacjent powinien wykazać wysokość szkody – może to czynić za pomocą dokumentów potwierdzających poniesione koszty, czasem opinii lekarza o kosztach zabiegów naprawczych i in., a także uzasadnić wysokość żądanego zadośćuczynienia. W większości spraw sądowych kluczowym dowodem będzie opinia biegłego lekarza – potwierdzająca lub wykluczająca odpowiedzialność dentysty za powstałą u pacjenta szkodę.</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Warto podkreślić, iż zgodnie z przepisem art. 442 (1) kodeksu cywilnego roszczenia w przypadku szkód na osobie przedawniają się z upływem 3 lat od dnia, w którym poszkodowany dowiedział się albo przy zachowaniu należytej staranności mógł się dowiedzieć o szkodzie i o </w:t>
      </w:r>
      <w:r>
        <w:rPr>
          <w:color w:val="000000"/>
        </w:rPr>
        <w:lastRenderedPageBreak/>
        <w:t>osobie obowiązanej do jej naprawienia.</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Każdemu </w:t>
      </w:r>
      <w:proofErr w:type="spellStart"/>
      <w:r>
        <w:rPr>
          <w:color w:val="000000"/>
        </w:rPr>
        <w:t>pacjentowui</w:t>
      </w:r>
      <w:proofErr w:type="spellEnd"/>
      <w:r>
        <w:rPr>
          <w:color w:val="000000"/>
        </w:rPr>
        <w:t xml:space="preserve"> przysługują także roszczenia z tytułu niewykonania lub nieprawidłowego wykonania umowy, a także z tytułu naruszenia praw pacjenta.</w:t>
      </w:r>
    </w:p>
    <w:p w:rsidR="006F20F3" w:rsidRDefault="00E34FBB">
      <w:pPr>
        <w:pStyle w:val="Nagwek5"/>
        <w:widowControl/>
        <w:spacing w:line="336" w:lineRule="auto"/>
        <w:rPr>
          <w:rFonts w:ascii="Times New Roman" w:hAnsi="Times New Roman" w:cs="Times New Roman"/>
          <w:b w:val="0"/>
          <w:color w:val="000000"/>
        </w:rPr>
      </w:pPr>
      <w:r>
        <w:rPr>
          <w:rFonts w:ascii="Times New Roman" w:hAnsi="Times New Roman" w:cs="Times New Roman"/>
          <w:b w:val="0"/>
          <w:color w:val="000000"/>
        </w:rPr>
        <w:t xml:space="preserve">                 W sytuacji dochodzenia swych praw, wynikających z przedstawionych powyżej sytuacji,</w:t>
      </w:r>
    </w:p>
    <w:p w:rsidR="006F20F3" w:rsidRDefault="00E34FBB">
      <w:pPr>
        <w:pStyle w:val="Tekstpodstawowy"/>
        <w:widowControl/>
        <w:spacing w:after="0" w:line="384" w:lineRule="auto"/>
        <w:rPr>
          <w:color w:val="000000"/>
        </w:rPr>
      </w:pPr>
      <w:r>
        <w:rPr>
          <w:color w:val="000000"/>
        </w:rPr>
        <w:t xml:space="preserve">należy </w:t>
      </w:r>
      <w:proofErr w:type="spellStart"/>
      <w:r>
        <w:rPr>
          <w:color w:val="000000"/>
        </w:rPr>
        <w:t>bezwzglęnie</w:t>
      </w:r>
      <w:proofErr w:type="spellEnd"/>
      <w:r>
        <w:rPr>
          <w:color w:val="000000"/>
        </w:rPr>
        <w:t xml:space="preserve"> ustalić,  kto ponosi odpowiedzialność cywilną . W tym celu należy dokonać analizy stosunku prawnego łączącego danego dentystę z  placówką medyczną .  W sytuacji gdy dentysta prowadzi indywidualną praktykę – nie ma wątpliwości, że to on ponosi odpowiedzialność i do niego pacjent powinien kierować swoje roszczenia. Jednak w  przypadku większych placówek medycznych, odpowiedzialność będzie uzależniona od tego czy dentysta:</w:t>
      </w:r>
    </w:p>
    <w:p w:rsidR="006F20F3" w:rsidRDefault="00E34FBB">
      <w:pPr>
        <w:pStyle w:val="Tekstpodstawowy"/>
        <w:widowControl/>
        <w:numPr>
          <w:ilvl w:val="0"/>
          <w:numId w:val="6"/>
        </w:numPr>
        <w:tabs>
          <w:tab w:val="left" w:pos="375"/>
        </w:tabs>
        <w:spacing w:after="0" w:line="384" w:lineRule="auto"/>
        <w:jc w:val="both"/>
        <w:rPr>
          <w:color w:val="000000"/>
        </w:rPr>
      </w:pPr>
      <w:r>
        <w:rPr>
          <w:color w:val="000000"/>
        </w:rPr>
        <w:t>zatrudniony jest na umowę o pracę (wtedy odpowiedzialność cywilną ponosi placówka medyczna i to do placówki pacjent kieruje reklamację, ewentualnie pozywa placówkę),</w:t>
      </w:r>
    </w:p>
    <w:p w:rsidR="006F20F3" w:rsidRDefault="00E34FBB">
      <w:pPr>
        <w:pStyle w:val="Tekstpodstawowy"/>
        <w:widowControl/>
        <w:numPr>
          <w:ilvl w:val="0"/>
          <w:numId w:val="6"/>
        </w:numPr>
        <w:tabs>
          <w:tab w:val="left" w:pos="375"/>
        </w:tabs>
        <w:spacing w:after="0" w:line="384" w:lineRule="auto"/>
        <w:jc w:val="both"/>
        <w:rPr>
          <w:color w:val="000000"/>
        </w:rPr>
      </w:pPr>
      <w:r>
        <w:rPr>
          <w:color w:val="000000"/>
        </w:rPr>
        <w:t>współpracuje z placówką na podstawie umowy o współpracy – wtedy odpowiedzialność cywilną solidarnie ponoszą placówka i lekarz.</w:t>
      </w:r>
    </w:p>
    <w:p w:rsidR="006F20F3" w:rsidRDefault="00E34FBB">
      <w:pPr>
        <w:pStyle w:val="Tekstpodstawowy"/>
        <w:widowControl/>
        <w:spacing w:after="0" w:line="384" w:lineRule="auto"/>
        <w:rPr>
          <w:b/>
          <w:bCs/>
          <w:color w:val="000000"/>
        </w:rPr>
      </w:pPr>
      <w:r>
        <w:rPr>
          <w:color w:val="000000"/>
        </w:rPr>
        <w:t>Pacjent może także swoje roszczenia zgłosić bezpośrednio do ubezpieczyciela (każdy lekarz i placówka powinni mieć wykupione ubezpieczenie OC).</w:t>
      </w:r>
    </w:p>
    <w:p w:rsidR="00E34FBB" w:rsidRDefault="00E34FBB">
      <w:pPr>
        <w:spacing w:line="360" w:lineRule="auto"/>
        <w:jc w:val="both"/>
        <w:rPr>
          <w:b/>
          <w:bCs/>
          <w:color w:val="000000"/>
        </w:rPr>
      </w:pPr>
    </w:p>
    <w:sectPr w:rsidR="00E34FBB">
      <w:pgSz w:w="11906" w:h="16838"/>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ndale Sans UI">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0"/>
        </w:tabs>
        <w:ind w:left="129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suff w:val="nothing"/>
      <w:lvlText w:val=""/>
      <w:lvlJc w:val="left"/>
      <w:pPr>
        <w:tabs>
          <w:tab w:val="num" w:pos="0"/>
        </w:tabs>
        <w:ind w:left="375" w:firstLine="0"/>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3">
    <w:nsid w:val="00000004"/>
    <w:multiLevelType w:val="multilevel"/>
    <w:tmpl w:val="00000004"/>
    <w:name w:val="WW8Num4"/>
    <w:lvl w:ilvl="0">
      <w:start w:val="1"/>
      <w:numFmt w:val="decimal"/>
      <w:suff w:val="nothing"/>
      <w:lvlText w:val="%1."/>
      <w:lvlJc w:val="left"/>
      <w:pPr>
        <w:tabs>
          <w:tab w:val="num" w:pos="0"/>
        </w:tabs>
        <w:ind w:left="375"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5"/>
    <w:multiLevelType w:val="multilevel"/>
    <w:tmpl w:val="00000005"/>
    <w:name w:val="WW8Num5"/>
    <w:lvl w:ilvl="0">
      <w:start w:val="1"/>
      <w:numFmt w:val="decimal"/>
      <w:suff w:val="nothing"/>
      <w:lvlText w:val="%1."/>
      <w:lvlJc w:val="left"/>
      <w:pPr>
        <w:tabs>
          <w:tab w:val="num" w:pos="0"/>
        </w:tabs>
        <w:ind w:left="375" w:firstLine="0"/>
      </w:pPr>
      <w:rPr>
        <w:rFonts w:ascii="Symbol" w:hAnsi="Symbol" w:cs="OpenSymbol"/>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6"/>
    <w:multiLevelType w:val="multilevel"/>
    <w:tmpl w:val="00000006"/>
    <w:name w:val="WW8Num6"/>
    <w:lvl w:ilvl="0">
      <w:start w:val="1"/>
      <w:numFmt w:val="bullet"/>
      <w:suff w:val="nothing"/>
      <w:lvlText w:val=""/>
      <w:lvlJc w:val="left"/>
      <w:pPr>
        <w:tabs>
          <w:tab w:val="num" w:pos="0"/>
        </w:tabs>
        <w:ind w:left="375" w:firstLine="0"/>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51"/>
    <w:rsid w:val="001518C0"/>
    <w:rsid w:val="006F20F3"/>
    <w:rsid w:val="007C0251"/>
    <w:rsid w:val="00E34F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Andale Sans UI"/>
      <w:kern w:val="1"/>
      <w:sz w:val="24"/>
      <w:szCs w:val="24"/>
    </w:rPr>
  </w:style>
  <w:style w:type="paragraph" w:styleId="Nagwek1">
    <w:name w:val="heading 1"/>
    <w:basedOn w:val="Nagwek10"/>
    <w:next w:val="Tekstpodstawowy"/>
    <w:qFormat/>
    <w:pPr>
      <w:numPr>
        <w:numId w:val="1"/>
      </w:numPr>
      <w:outlineLvl w:val="0"/>
    </w:pPr>
    <w:rPr>
      <w:b/>
      <w:bCs/>
      <w:sz w:val="32"/>
      <w:szCs w:val="32"/>
    </w:rPr>
  </w:style>
  <w:style w:type="paragraph" w:styleId="Nagwek2">
    <w:name w:val="heading 2"/>
    <w:basedOn w:val="Nagwek10"/>
    <w:next w:val="Tekstpodstawowy"/>
    <w:qFormat/>
    <w:pPr>
      <w:numPr>
        <w:ilvl w:val="1"/>
        <w:numId w:val="1"/>
      </w:numPr>
      <w:ind w:left="0" w:firstLine="0"/>
      <w:outlineLvl w:val="1"/>
    </w:pPr>
    <w:rPr>
      <w:rFonts w:ascii="Times New Roman" w:eastAsia="MS Gothic" w:hAnsi="Times New Roman"/>
      <w:b/>
      <w:bCs/>
      <w:sz w:val="36"/>
      <w:szCs w:val="36"/>
    </w:rPr>
  </w:style>
  <w:style w:type="paragraph" w:styleId="Nagwek3">
    <w:name w:val="heading 3"/>
    <w:basedOn w:val="Nagwek10"/>
    <w:next w:val="Tekstpodstawowy"/>
    <w:qFormat/>
    <w:pPr>
      <w:numPr>
        <w:ilvl w:val="2"/>
        <w:numId w:val="1"/>
      </w:numPr>
      <w:outlineLvl w:val="2"/>
    </w:pPr>
    <w:rPr>
      <w:b/>
      <w:bCs/>
    </w:rPr>
  </w:style>
  <w:style w:type="paragraph" w:styleId="Nagwek4">
    <w:name w:val="heading 4"/>
    <w:basedOn w:val="Nagwek10"/>
    <w:next w:val="Tekstpodstawowy"/>
    <w:qFormat/>
    <w:pPr>
      <w:numPr>
        <w:ilvl w:val="3"/>
        <w:numId w:val="1"/>
      </w:numPr>
      <w:outlineLvl w:val="3"/>
    </w:pPr>
    <w:rPr>
      <w:b/>
      <w:bCs/>
      <w:i/>
      <w:iCs/>
      <w:sz w:val="24"/>
      <w:szCs w:val="24"/>
    </w:rPr>
  </w:style>
  <w:style w:type="paragraph" w:styleId="Nagwek5">
    <w:name w:val="heading 5"/>
    <w:basedOn w:val="Nagwek10"/>
    <w:next w:val="Tekstpodstawowy"/>
    <w:qFormat/>
    <w:pPr>
      <w:numPr>
        <w:ilvl w:val="4"/>
        <w:numId w:val="1"/>
      </w:numPr>
      <w:outlineLvl w:val="4"/>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OpenSymbo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styleId="Hipercze">
    <w:name w:val="Hyperlink"/>
    <w:rPr>
      <w:color w:val="000080"/>
      <w:u w:val="single"/>
    </w:rPr>
  </w:style>
  <w:style w:type="character" w:styleId="Pogrubienie">
    <w:name w:val="Strong"/>
    <w:qFormat/>
    <w:rPr>
      <w:b/>
      <w:bCs/>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Andale Sans UI"/>
      <w:kern w:val="1"/>
      <w:sz w:val="24"/>
      <w:szCs w:val="24"/>
    </w:rPr>
  </w:style>
  <w:style w:type="paragraph" w:styleId="Nagwek1">
    <w:name w:val="heading 1"/>
    <w:basedOn w:val="Nagwek10"/>
    <w:next w:val="Tekstpodstawowy"/>
    <w:qFormat/>
    <w:pPr>
      <w:numPr>
        <w:numId w:val="1"/>
      </w:numPr>
      <w:outlineLvl w:val="0"/>
    </w:pPr>
    <w:rPr>
      <w:b/>
      <w:bCs/>
      <w:sz w:val="32"/>
      <w:szCs w:val="32"/>
    </w:rPr>
  </w:style>
  <w:style w:type="paragraph" w:styleId="Nagwek2">
    <w:name w:val="heading 2"/>
    <w:basedOn w:val="Nagwek10"/>
    <w:next w:val="Tekstpodstawowy"/>
    <w:qFormat/>
    <w:pPr>
      <w:numPr>
        <w:ilvl w:val="1"/>
        <w:numId w:val="1"/>
      </w:numPr>
      <w:ind w:left="0" w:firstLine="0"/>
      <w:outlineLvl w:val="1"/>
    </w:pPr>
    <w:rPr>
      <w:rFonts w:ascii="Times New Roman" w:eastAsia="MS Gothic" w:hAnsi="Times New Roman"/>
      <w:b/>
      <w:bCs/>
      <w:sz w:val="36"/>
      <w:szCs w:val="36"/>
    </w:rPr>
  </w:style>
  <w:style w:type="paragraph" w:styleId="Nagwek3">
    <w:name w:val="heading 3"/>
    <w:basedOn w:val="Nagwek10"/>
    <w:next w:val="Tekstpodstawowy"/>
    <w:qFormat/>
    <w:pPr>
      <w:numPr>
        <w:ilvl w:val="2"/>
        <w:numId w:val="1"/>
      </w:numPr>
      <w:outlineLvl w:val="2"/>
    </w:pPr>
    <w:rPr>
      <w:b/>
      <w:bCs/>
    </w:rPr>
  </w:style>
  <w:style w:type="paragraph" w:styleId="Nagwek4">
    <w:name w:val="heading 4"/>
    <w:basedOn w:val="Nagwek10"/>
    <w:next w:val="Tekstpodstawowy"/>
    <w:qFormat/>
    <w:pPr>
      <w:numPr>
        <w:ilvl w:val="3"/>
        <w:numId w:val="1"/>
      </w:numPr>
      <w:outlineLvl w:val="3"/>
    </w:pPr>
    <w:rPr>
      <w:b/>
      <w:bCs/>
      <w:i/>
      <w:iCs/>
      <w:sz w:val="24"/>
      <w:szCs w:val="24"/>
    </w:rPr>
  </w:style>
  <w:style w:type="paragraph" w:styleId="Nagwek5">
    <w:name w:val="heading 5"/>
    <w:basedOn w:val="Nagwek10"/>
    <w:next w:val="Tekstpodstawowy"/>
    <w:qFormat/>
    <w:pPr>
      <w:numPr>
        <w:ilvl w:val="4"/>
        <w:numId w:val="1"/>
      </w:numPr>
      <w:outlineLvl w:val="4"/>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OpenSymbo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styleId="Hipercze">
    <w:name w:val="Hyperlink"/>
    <w:rPr>
      <w:color w:val="000080"/>
      <w:u w:val="single"/>
    </w:rPr>
  </w:style>
  <w:style w:type="character" w:styleId="Pogrubienie">
    <w:name w:val="Strong"/>
    <w:qFormat/>
    <w:rPr>
      <w:b/>
      <w:bCs/>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r.pl/prawo/prawa-konsumenta/konsument-dom/89360,Dobrowolne-poddanie-sie-egzekucji-w-akcie-notarialnym.html" TargetMode="External"/><Relationship Id="rId3" Type="http://schemas.microsoft.com/office/2007/relationships/stylesWithEffects" Target="stylesWithEffects.xml"/><Relationship Id="rId7" Type="http://schemas.openxmlformats.org/officeDocument/2006/relationships/hyperlink" Target="http://www.infor.pl/prawo/pomoc-prawna/cennik/304620,Pelnomocnictwo-i-oplata-skarbowa-w-postepowaniu-egzekucyjny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r.pl/prawo/notariusz/akt-notarialny/700352,Dobrowolne-poddanie-sie-egzekucji-na-podstawie-aktu-notarialnego.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for.pl/prawo/umow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1303</Words>
  <Characters>7822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E6230</dc:creator>
  <cp:lastModifiedBy>Justyna</cp:lastModifiedBy>
  <cp:revision>2</cp:revision>
  <cp:lastPrinted>2021-04-19T11:03:00Z</cp:lastPrinted>
  <dcterms:created xsi:type="dcterms:W3CDTF">2021-04-19T11:04:00Z</dcterms:created>
  <dcterms:modified xsi:type="dcterms:W3CDTF">2021-04-19T11:04:00Z</dcterms:modified>
</cp:coreProperties>
</file>