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E" w:rsidRDefault="00C36F5E">
      <w:pPr>
        <w:spacing w:after="225" w:line="360" w:lineRule="auto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1) </w:t>
      </w:r>
      <w:proofErr w:type="spellStart"/>
      <w:r>
        <w:rPr>
          <w:rFonts w:ascii="Times New Roman" w:hAnsi="Times New Roman"/>
          <w:b/>
          <w:bCs/>
          <w:color w:val="000000"/>
        </w:rPr>
        <w:t>Czy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to </w:t>
      </w:r>
      <w:proofErr w:type="spellStart"/>
      <w:r>
        <w:rPr>
          <w:rFonts w:ascii="Times New Roman" w:hAnsi="Times New Roman"/>
          <w:b/>
          <w:bCs/>
          <w:color w:val="000000"/>
        </w:rPr>
        <w:t>prawda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, </w:t>
      </w:r>
      <w:proofErr w:type="spellStart"/>
      <w:r>
        <w:rPr>
          <w:rFonts w:ascii="Times New Roman" w:hAnsi="Times New Roman"/>
          <w:b/>
          <w:bCs/>
          <w:color w:val="000000"/>
        </w:rPr>
        <w:t>że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już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wkrótce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rolnik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będzie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mógł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przejść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emeryturę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bez </w:t>
      </w:r>
      <w:proofErr w:type="spellStart"/>
      <w:r>
        <w:rPr>
          <w:rFonts w:ascii="Times New Roman" w:hAnsi="Times New Roman"/>
          <w:b/>
          <w:bCs/>
          <w:color w:val="000000"/>
        </w:rPr>
        <w:t>przekazywania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gospodarstwa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rolnego</w:t>
      </w:r>
      <w:proofErr w:type="spellEnd"/>
      <w:r>
        <w:rPr>
          <w:rFonts w:ascii="Times New Roman" w:hAnsi="Times New Roman"/>
          <w:b/>
          <w:bCs/>
          <w:color w:val="000000"/>
        </w:rPr>
        <w:t>?</w:t>
      </w:r>
    </w:p>
    <w:p w:rsidR="0085075E" w:rsidRDefault="00C36F5E">
      <w:pPr>
        <w:spacing w:after="225"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Generalnie</w:t>
      </w:r>
      <w:proofErr w:type="spellEnd"/>
      <w:r>
        <w:rPr>
          <w:rFonts w:ascii="Times New Roman" w:hAnsi="Times New Roman"/>
          <w:color w:val="000000"/>
        </w:rPr>
        <w:t xml:space="preserve"> od </w:t>
      </w:r>
      <w:proofErr w:type="spellStart"/>
      <w:r>
        <w:rPr>
          <w:rFonts w:ascii="Times New Roman" w:hAnsi="Times New Roman"/>
          <w:color w:val="000000"/>
        </w:rPr>
        <w:t>dnia</w:t>
      </w:r>
      <w:proofErr w:type="spellEnd"/>
      <w:r>
        <w:rPr>
          <w:rFonts w:ascii="Times New Roman" w:hAnsi="Times New Roman"/>
          <w:color w:val="000000"/>
        </w:rPr>
        <w:t xml:space="preserve"> 15 </w:t>
      </w:r>
      <w:proofErr w:type="spellStart"/>
      <w:r>
        <w:rPr>
          <w:rFonts w:ascii="Times New Roman" w:hAnsi="Times New Roman"/>
          <w:color w:val="000000"/>
        </w:rPr>
        <w:t>czerwca</w:t>
      </w:r>
      <w:proofErr w:type="spellEnd"/>
      <w:r>
        <w:rPr>
          <w:rFonts w:ascii="Times New Roman" w:hAnsi="Times New Roman"/>
          <w:color w:val="000000"/>
        </w:rPr>
        <w:t xml:space="preserve">  2022 r. </w:t>
      </w:r>
      <w:proofErr w:type="spellStart"/>
      <w:r>
        <w:rPr>
          <w:rFonts w:ascii="Times New Roman" w:hAnsi="Times New Roman"/>
          <w:color w:val="000000"/>
        </w:rPr>
        <w:t>rolnicy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będą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mogli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przechodzić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emeryturę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przekazywania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gospodarstwa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rolnego</w:t>
      </w:r>
      <w:proofErr w:type="spellEnd"/>
      <w:r>
        <w:rPr>
          <w:rFonts w:ascii="Times New Roman" w:hAnsi="Times New Roman"/>
          <w:color w:val="000000"/>
        </w:rPr>
        <w:t xml:space="preserve"> . W </w:t>
      </w:r>
      <w:proofErr w:type="spellStart"/>
      <w:r>
        <w:rPr>
          <w:rFonts w:ascii="Times New Roman" w:hAnsi="Times New Roman"/>
          <w:color w:val="000000"/>
        </w:rPr>
        <w:t>dniu</w:t>
      </w:r>
      <w:proofErr w:type="spellEnd"/>
      <w:r>
        <w:rPr>
          <w:rFonts w:ascii="Times New Roman" w:hAnsi="Times New Roman"/>
          <w:color w:val="000000"/>
        </w:rPr>
        <w:t xml:space="preserve"> 31 </w:t>
      </w:r>
      <w:proofErr w:type="spellStart"/>
      <w:r>
        <w:rPr>
          <w:rFonts w:ascii="Times New Roman" w:hAnsi="Times New Roman"/>
          <w:color w:val="000000"/>
        </w:rPr>
        <w:t>maja</w:t>
      </w:r>
      <w:proofErr w:type="spellEnd"/>
      <w:r>
        <w:rPr>
          <w:rFonts w:ascii="Times New Roman" w:hAnsi="Times New Roman"/>
          <w:color w:val="000000"/>
        </w:rPr>
        <w:t xml:space="preserve"> 2022r. w </w:t>
      </w:r>
      <w:proofErr w:type="spellStart"/>
      <w:r>
        <w:rPr>
          <w:rFonts w:ascii="Times New Roman" w:hAnsi="Times New Roman"/>
          <w:color w:val="000000"/>
        </w:rPr>
        <w:t>Dzienniku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została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opublikowana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 w:rsidR="00247058">
        <w:fldChar w:fldCharType="begin"/>
      </w:r>
      <w:r w:rsidR="00247058">
        <w:instrText xml:space="preserve"> HYPERLINK "https://mojafirma.infor.pl/tematy/nowelizacja/" \h </w:instrText>
      </w:r>
      <w:r w:rsidR="00247058">
        <w:rPr>
          <w:rFonts w:hint="eastAsia"/>
        </w:rPr>
        <w:fldChar w:fldCharType="separate"/>
      </w:r>
      <w:r>
        <w:rPr>
          <w:rStyle w:val="czeinternetowe"/>
          <w:rFonts w:ascii="Times New Roman" w:hAnsi="Times New Roman"/>
          <w:color w:val="000000"/>
          <w:u w:val="none"/>
        </w:rPr>
        <w:t>nowelizacja</w:t>
      </w:r>
      <w:proofErr w:type="spellEnd"/>
      <w:r w:rsidR="00247058">
        <w:rPr>
          <w:rStyle w:val="czeinternetowe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ustawy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ubezpieczeniu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społecznym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rolników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Według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nowych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przepisów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rolnicy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emeryturze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będą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musieli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zaprzestawać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prowadzenia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działalności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rolniczej</w:t>
      </w:r>
      <w:proofErr w:type="spellEnd"/>
      <w:r>
        <w:rPr>
          <w:rFonts w:ascii="Times New Roman" w:hAnsi="Times New Roman"/>
          <w:color w:val="000000"/>
        </w:rPr>
        <w:t xml:space="preserve">, by </w:t>
      </w:r>
      <w:proofErr w:type="spellStart"/>
      <w:r>
        <w:rPr>
          <w:rFonts w:ascii="Times New Roman" w:hAnsi="Times New Roman"/>
          <w:color w:val="000000"/>
        </w:rPr>
        <w:t>otrzymać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świadczenie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pełnej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wysokości</w:t>
      </w:r>
      <w:proofErr w:type="spellEnd"/>
      <w:r>
        <w:rPr>
          <w:rFonts w:ascii="Times New Roman" w:hAnsi="Times New Roman"/>
          <w:color w:val="000000"/>
        </w:rPr>
        <w:t xml:space="preserve">. Do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rolnik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który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osiągnął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emerytalny</w:t>
      </w:r>
      <w:proofErr w:type="spellEnd"/>
      <w:r>
        <w:rPr>
          <w:rFonts w:ascii="Times New Roman" w:hAnsi="Times New Roman"/>
          <w:color w:val="000000"/>
        </w:rPr>
        <w:t xml:space="preserve">, w </w:t>
      </w:r>
      <w:proofErr w:type="spellStart"/>
      <w:r>
        <w:rPr>
          <w:rFonts w:ascii="Times New Roman" w:hAnsi="Times New Roman"/>
          <w:color w:val="000000"/>
        </w:rPr>
        <w:t>celu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uzyskania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 w:rsidR="00247058">
        <w:fldChar w:fldCharType="begin"/>
      </w:r>
      <w:r w:rsidR="00247058">
        <w:instrText xml:space="preserve"> HYPERLINK "https://mojafirma.infor.pl/tematy/emerytury/" \h </w:instrText>
      </w:r>
      <w:r w:rsidR="00247058">
        <w:rPr>
          <w:rFonts w:hint="eastAsia"/>
        </w:rPr>
        <w:fldChar w:fldCharType="separate"/>
      </w:r>
      <w:r>
        <w:rPr>
          <w:rStyle w:val="czeinternetowe"/>
          <w:rFonts w:ascii="Times New Roman" w:hAnsi="Times New Roman"/>
          <w:color w:val="000000"/>
          <w:u w:val="none"/>
        </w:rPr>
        <w:t>emerytury</w:t>
      </w:r>
      <w:proofErr w:type="spellEnd"/>
      <w:r w:rsidR="00247058">
        <w:rPr>
          <w:rStyle w:val="czeinternetowe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> (</w:t>
      </w:r>
      <w:proofErr w:type="spellStart"/>
      <w:r>
        <w:rPr>
          <w:rFonts w:ascii="Times New Roman" w:hAnsi="Times New Roman"/>
          <w:color w:val="000000"/>
        </w:rPr>
        <w:t>tzn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części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uzupełniającej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emerytury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musiał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zrezygnować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prowadzenia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działalności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rolniczej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Przedmiotowa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</w:t>
      </w:r>
      <w:r>
        <w:rPr>
          <w:rStyle w:val="Mocnewyrnione"/>
          <w:rFonts w:ascii="Times New Roman" w:hAnsi="Times New Roman"/>
          <w:b w:val="0"/>
          <w:bCs w:val="0"/>
          <w:color w:val="000000"/>
        </w:rPr>
        <w:t>stawa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wchodzi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w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życie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15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czerwca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,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czyli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już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od 15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czerwca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rolnicy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będą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mogli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składać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wnioski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o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emeryturę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-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jeśli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ukończyli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wiek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emerytalny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: 65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lat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w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przypadku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mężczyzn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60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lat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kobiet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-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nie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musząc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przekazywać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gospodarstwa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przerywać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pracy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w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gospodarstwie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.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Dodać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należy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,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iż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p</w:t>
      </w:r>
      <w:hyperlink r:id="rId5">
        <w:r>
          <w:rPr>
            <w:rStyle w:val="czeinternetowe"/>
            <w:rFonts w:ascii="Times New Roman" w:hAnsi="Times New Roman"/>
            <w:color w:val="000000"/>
            <w:u w:val="none"/>
          </w:rPr>
          <w:t>raca</w:t>
        </w:r>
        <w:proofErr w:type="spellEnd"/>
      </w:hyperlink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rolnika-emeryta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gospodarstwie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będzie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wiązała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odprowadzaniem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dodatkowej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 w:rsidR="00247058">
        <w:fldChar w:fldCharType="begin"/>
      </w:r>
      <w:r w:rsidR="00247058">
        <w:instrText xml:space="preserve"> HYPERLINK "http</w:instrText>
      </w:r>
      <w:r w:rsidR="00247058">
        <w:instrText xml:space="preserve">s://ksiegowosc.infor.pl/tematy/skladki/" \h </w:instrText>
      </w:r>
      <w:r w:rsidR="00247058">
        <w:rPr>
          <w:rFonts w:hint="eastAsia"/>
        </w:rPr>
        <w:fldChar w:fldCharType="separate"/>
      </w:r>
      <w:r>
        <w:rPr>
          <w:rStyle w:val="czeinternetowe"/>
          <w:rFonts w:ascii="Times New Roman" w:hAnsi="Times New Roman"/>
          <w:color w:val="000000"/>
          <w:u w:val="none"/>
        </w:rPr>
        <w:t>składki</w:t>
      </w:r>
      <w:proofErr w:type="spellEnd"/>
      <w:r w:rsidR="00247058">
        <w:rPr>
          <w:rStyle w:val="czeinternetowe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 w:rsidR="00247058">
        <w:fldChar w:fldCharType="begin"/>
      </w:r>
      <w:r w:rsidR="00247058">
        <w:instrText xml:space="preserve"> HYPERLINK "https://kadry.infor.pl/tematy/ubezpieczenia/" \h </w:instrText>
      </w:r>
      <w:r w:rsidR="00247058">
        <w:rPr>
          <w:rFonts w:hint="eastAsia"/>
        </w:rPr>
        <w:fldChar w:fldCharType="separate"/>
      </w:r>
      <w:r>
        <w:rPr>
          <w:rStyle w:val="czeinternetowe"/>
          <w:rFonts w:ascii="Times New Roman" w:hAnsi="Times New Roman"/>
          <w:color w:val="000000"/>
          <w:u w:val="none"/>
        </w:rPr>
        <w:t>ubezpieczenia</w:t>
      </w:r>
      <w:proofErr w:type="spellEnd"/>
      <w:r w:rsidR="00247058">
        <w:rPr>
          <w:rStyle w:val="czeinternetowe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emerytalne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także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rolnicy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będą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mogli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pobierać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emeryturę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żadnych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dodatkowych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obciążeń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85075E" w:rsidRDefault="0085075E">
      <w:pPr>
        <w:spacing w:after="225" w:line="360" w:lineRule="auto"/>
        <w:jc w:val="both"/>
        <w:rPr>
          <w:rFonts w:ascii="Times New Roman" w:hAnsi="Times New Roman"/>
          <w:color w:val="000000"/>
        </w:rPr>
      </w:pPr>
    </w:p>
    <w:p w:rsidR="0085075E" w:rsidRDefault="00C36F5E">
      <w:pPr>
        <w:spacing w:after="225"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2) Co </w:t>
      </w:r>
      <w:proofErr w:type="spellStart"/>
      <w:r>
        <w:rPr>
          <w:rFonts w:ascii="Times New Roman" w:hAnsi="Times New Roman"/>
          <w:b/>
          <w:bCs/>
          <w:color w:val="000000"/>
        </w:rPr>
        <w:t>się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dzieje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z </w:t>
      </w:r>
      <w:proofErr w:type="spellStart"/>
      <w:r>
        <w:rPr>
          <w:rFonts w:ascii="Times New Roman" w:hAnsi="Times New Roman"/>
          <w:b/>
          <w:bCs/>
          <w:color w:val="000000"/>
        </w:rPr>
        <w:t>kontem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bakowym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, z </w:t>
      </w:r>
      <w:proofErr w:type="spellStart"/>
      <w:r>
        <w:rPr>
          <w:rFonts w:ascii="Times New Roman" w:hAnsi="Times New Roman"/>
          <w:b/>
          <w:bCs/>
          <w:color w:val="000000"/>
        </w:rPr>
        <w:t>którego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posiadacz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od </w:t>
      </w:r>
      <w:proofErr w:type="spellStart"/>
      <w:r>
        <w:rPr>
          <w:rFonts w:ascii="Times New Roman" w:hAnsi="Times New Roman"/>
          <w:b/>
          <w:bCs/>
          <w:color w:val="000000"/>
        </w:rPr>
        <w:t>dawna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nie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korzysta</w:t>
      </w:r>
      <w:proofErr w:type="spellEnd"/>
      <w:r>
        <w:rPr>
          <w:rFonts w:ascii="Times New Roman" w:hAnsi="Times New Roman"/>
          <w:b/>
          <w:bCs/>
          <w:color w:val="000000"/>
        </w:rPr>
        <w:t>?</w:t>
      </w:r>
    </w:p>
    <w:p w:rsidR="0085075E" w:rsidRDefault="00C36F5E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ab/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Czasami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zdarza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się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,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iż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dana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osoba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korzysta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posiadanego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 – jest to </w:t>
      </w:r>
      <w:proofErr w:type="spellStart"/>
      <w:r>
        <w:rPr>
          <w:rFonts w:ascii="Times New Roman" w:hAnsi="Times New Roman"/>
          <w:color w:val="000000"/>
        </w:rPr>
        <w:t>tzw</w:t>
      </w:r>
      <w:proofErr w:type="spellEnd"/>
      <w:r>
        <w:rPr>
          <w:rFonts w:ascii="Times New Roman" w:hAnsi="Times New Roman"/>
          <w:color w:val="000000"/>
        </w:rPr>
        <w:t>. „</w:t>
      </w:r>
      <w:proofErr w:type="spellStart"/>
      <w:r>
        <w:rPr>
          <w:rFonts w:ascii="Times New Roman" w:hAnsi="Times New Roman"/>
          <w:color w:val="000000"/>
        </w:rPr>
        <w:t>uśpione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konto</w:t>
      </w:r>
      <w:proofErr w:type="spellEnd"/>
      <w:r>
        <w:rPr>
          <w:rFonts w:ascii="Times New Roman" w:hAnsi="Times New Roman"/>
          <w:color w:val="000000"/>
        </w:rPr>
        <w:t xml:space="preserve">”. Bank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mocy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zawartej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umowy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zobowiązany</w:t>
      </w:r>
      <w:proofErr w:type="spellEnd"/>
      <w:r>
        <w:rPr>
          <w:rFonts w:ascii="Times New Roman" w:hAnsi="Times New Roman"/>
          <w:color w:val="000000"/>
        </w:rPr>
        <w:t xml:space="preserve"> jest do </w:t>
      </w:r>
      <w:proofErr w:type="spellStart"/>
      <w:r>
        <w:rPr>
          <w:rFonts w:ascii="Times New Roman" w:hAnsi="Times New Roman"/>
          <w:color w:val="000000"/>
        </w:rPr>
        <w:t>prowadzenia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niemniej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różnych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względów</w:t>
      </w:r>
      <w:proofErr w:type="spellEnd"/>
      <w:r>
        <w:rPr>
          <w:rFonts w:ascii="Times New Roman" w:hAnsi="Times New Roman"/>
          <w:color w:val="000000"/>
        </w:rPr>
        <w:t xml:space="preserve"> dana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długi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korzystać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dostępnych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usług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lub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też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posiadacz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zmarł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Zgodnie</w:t>
      </w:r>
      <w:proofErr w:type="spellEnd"/>
      <w:r>
        <w:rPr>
          <w:rFonts w:ascii="Times New Roman" w:hAnsi="Times New Roman"/>
          <w:color w:val="000000"/>
        </w:rPr>
        <w:t xml:space="preserve"> z art. 59a </w:t>
      </w:r>
      <w:proofErr w:type="spellStart"/>
      <w:r>
        <w:rPr>
          <w:rFonts w:ascii="Times New Roman" w:hAnsi="Times New Roman"/>
          <w:color w:val="000000"/>
        </w:rPr>
        <w:t>Prawa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ulega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rozwiązaniu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dniem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śmierci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posiadacza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> </w:t>
      </w:r>
      <w:proofErr w:type="spellStart"/>
      <w:r>
        <w:rPr>
          <w:rFonts w:ascii="Times New Roman" w:hAnsi="Times New Roman"/>
          <w:color w:val="000000"/>
        </w:rPr>
        <w:t>lub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jeśli</w:t>
      </w:r>
      <w:proofErr w:type="spellEnd"/>
      <w:r>
        <w:rPr>
          <w:rFonts w:ascii="Times New Roman" w:hAnsi="Times New Roman"/>
          <w:color w:val="000000"/>
        </w:rPr>
        <w:t xml:space="preserve"> bank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uzyska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takiej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informacji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10 </w:t>
      </w:r>
      <w:proofErr w:type="spellStart"/>
      <w:r>
        <w:rPr>
          <w:rFonts w:ascii="Times New Roman" w:hAnsi="Times New Roman"/>
          <w:color w:val="000000"/>
        </w:rPr>
        <w:t>lat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posiadacza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ostatniej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dyspozycji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dotyczącej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(np. </w:t>
      </w:r>
      <w:proofErr w:type="spellStart"/>
      <w:r>
        <w:rPr>
          <w:rFonts w:ascii="Times New Roman" w:hAnsi="Times New Roman"/>
          <w:color w:val="000000"/>
        </w:rPr>
        <w:t>polecenia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przelewu</w:t>
      </w:r>
      <w:proofErr w:type="spellEnd"/>
      <w:r>
        <w:rPr>
          <w:rFonts w:ascii="Times New Roman" w:hAnsi="Times New Roman"/>
          <w:color w:val="000000"/>
        </w:rPr>
        <w:t xml:space="preserve">). </w:t>
      </w:r>
      <w:proofErr w:type="spellStart"/>
      <w:r>
        <w:rPr>
          <w:rFonts w:ascii="Times New Roman" w:hAnsi="Times New Roman"/>
          <w:color w:val="000000"/>
        </w:rPr>
        <w:t>Niemniej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latach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złożenia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ostatniej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dyspozycji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koncie</w:t>
      </w:r>
      <w:proofErr w:type="spellEnd"/>
      <w:r>
        <w:rPr>
          <w:rFonts w:ascii="Times New Roman" w:hAnsi="Times New Roman"/>
          <w:color w:val="000000"/>
        </w:rPr>
        <w:t xml:space="preserve">, bank </w:t>
      </w:r>
      <w:proofErr w:type="spellStart"/>
      <w:r>
        <w:rPr>
          <w:rFonts w:ascii="Times New Roman" w:hAnsi="Times New Roman"/>
          <w:color w:val="000000"/>
        </w:rPr>
        <w:t>powinien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wystąpić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wnioskiem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informację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systemu</w:t>
      </w:r>
      <w:proofErr w:type="spellEnd"/>
      <w:r>
        <w:rPr>
          <w:rFonts w:ascii="Times New Roman" w:hAnsi="Times New Roman"/>
          <w:color w:val="000000"/>
        </w:rPr>
        <w:t xml:space="preserve"> PESEL, </w:t>
      </w:r>
      <w:proofErr w:type="spellStart"/>
      <w:r>
        <w:rPr>
          <w:rFonts w:ascii="Times New Roman" w:hAnsi="Times New Roman"/>
          <w:color w:val="000000"/>
        </w:rPr>
        <w:t>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posiadacz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żyje</w:t>
      </w:r>
      <w:proofErr w:type="spellEnd"/>
      <w:r>
        <w:rPr>
          <w:rFonts w:ascii="Times New Roman" w:hAnsi="Times New Roman"/>
          <w:color w:val="000000"/>
        </w:rPr>
        <w:t xml:space="preserve">.  W </w:t>
      </w:r>
      <w:proofErr w:type="spellStart"/>
      <w:r>
        <w:rPr>
          <w:rFonts w:ascii="Times New Roman" w:hAnsi="Times New Roman"/>
          <w:color w:val="000000"/>
        </w:rPr>
        <w:t>sytuacji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kiedy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posiadacz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żyje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lub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udało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potwierdzić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informacji</w:t>
      </w:r>
      <w:proofErr w:type="spellEnd"/>
      <w:r>
        <w:rPr>
          <w:rFonts w:ascii="Times New Roman" w:hAnsi="Times New Roman"/>
          <w:color w:val="000000"/>
        </w:rPr>
        <w:t xml:space="preserve">, to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6 </w:t>
      </w:r>
      <w:proofErr w:type="spellStart"/>
      <w:r>
        <w:rPr>
          <w:rFonts w:ascii="Times New Roman" w:hAnsi="Times New Roman"/>
          <w:color w:val="000000"/>
        </w:rPr>
        <w:t>miesięcy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upływem</w:t>
      </w:r>
      <w:proofErr w:type="spellEnd"/>
      <w:r>
        <w:rPr>
          <w:rFonts w:ascii="Times New Roman" w:hAnsi="Times New Roman"/>
          <w:color w:val="000000"/>
        </w:rPr>
        <w:t xml:space="preserve"> 10-letniego </w:t>
      </w:r>
      <w:proofErr w:type="spellStart"/>
      <w:r>
        <w:rPr>
          <w:rFonts w:ascii="Times New Roman" w:hAnsi="Times New Roman"/>
          <w:color w:val="000000"/>
        </w:rPr>
        <w:t>okresu</w:t>
      </w:r>
      <w:proofErr w:type="spellEnd"/>
      <w:r>
        <w:rPr>
          <w:rFonts w:ascii="Times New Roman" w:hAnsi="Times New Roman"/>
          <w:color w:val="000000"/>
        </w:rPr>
        <w:t xml:space="preserve">, w </w:t>
      </w:r>
      <w:proofErr w:type="spellStart"/>
      <w:r>
        <w:rPr>
          <w:rFonts w:ascii="Times New Roman" w:hAnsi="Times New Roman"/>
          <w:color w:val="000000"/>
        </w:rPr>
        <w:t>którym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było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składanych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posiadacza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żadnych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dyspozycji</w:t>
      </w:r>
      <w:proofErr w:type="spellEnd"/>
      <w:r>
        <w:rPr>
          <w:rFonts w:ascii="Times New Roman" w:hAnsi="Times New Roman"/>
          <w:color w:val="000000"/>
        </w:rPr>
        <w:t xml:space="preserve">, bank </w:t>
      </w:r>
      <w:proofErr w:type="spellStart"/>
      <w:r>
        <w:rPr>
          <w:rFonts w:ascii="Times New Roman" w:hAnsi="Times New Roman"/>
          <w:color w:val="000000"/>
        </w:rPr>
        <w:t>musi</w:t>
      </w:r>
      <w:proofErr w:type="spellEnd"/>
      <w:r>
        <w:rPr>
          <w:rFonts w:ascii="Times New Roman" w:hAnsi="Times New Roman"/>
          <w:color w:val="000000"/>
        </w:rPr>
        <w:t xml:space="preserve"> go </w:t>
      </w:r>
      <w:proofErr w:type="spellStart"/>
      <w:r>
        <w:rPr>
          <w:rFonts w:ascii="Times New Roman" w:hAnsi="Times New Roman"/>
          <w:color w:val="000000"/>
        </w:rPr>
        <w:t>poinformować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skutkach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rozwiązania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umowy</w:t>
      </w:r>
      <w:proofErr w:type="spellEnd"/>
      <w:r>
        <w:rPr>
          <w:rFonts w:ascii="Times New Roman" w:hAnsi="Times New Roman"/>
          <w:color w:val="000000"/>
        </w:rPr>
        <w:t xml:space="preserve">. Po </w:t>
      </w:r>
      <w:proofErr w:type="spellStart"/>
      <w:r>
        <w:rPr>
          <w:rFonts w:ascii="Times New Roman" w:hAnsi="Times New Roman"/>
          <w:color w:val="000000"/>
        </w:rPr>
        <w:t>wyczerpaniu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procedury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jeśli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10 </w:t>
      </w:r>
      <w:proofErr w:type="spellStart"/>
      <w:r>
        <w:rPr>
          <w:rFonts w:ascii="Times New Roman" w:hAnsi="Times New Roman"/>
          <w:color w:val="000000"/>
        </w:rPr>
        <w:t>lat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było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żadnych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transakcji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zleconych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dyspozycji</w:t>
      </w:r>
      <w:proofErr w:type="spellEnd"/>
      <w:r>
        <w:rPr>
          <w:rFonts w:ascii="Times New Roman" w:hAnsi="Times New Roman"/>
          <w:color w:val="000000"/>
        </w:rPr>
        <w:t xml:space="preserve">, bank </w:t>
      </w:r>
      <w:proofErr w:type="spellStart"/>
      <w:r>
        <w:rPr>
          <w:rFonts w:ascii="Times New Roman" w:hAnsi="Times New Roman"/>
          <w:color w:val="000000"/>
        </w:rPr>
        <w:t>powinien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zamknąć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rachunek</w:t>
      </w:r>
      <w:proofErr w:type="spellEnd"/>
      <w:r>
        <w:rPr>
          <w:rFonts w:ascii="Times New Roman" w:hAnsi="Times New Roman"/>
          <w:color w:val="000000"/>
        </w:rPr>
        <w:t>.</w:t>
      </w:r>
    </w:p>
    <w:p w:rsidR="0085075E" w:rsidRDefault="008507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5075E" w:rsidRDefault="008507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5075E" w:rsidRDefault="00C36F5E">
      <w:pPr>
        <w:pStyle w:val="Nagwek4"/>
        <w:spacing w:before="0" w:after="0" w:line="360" w:lineRule="auto"/>
        <w:jc w:val="both"/>
        <w:rPr>
          <w:rFonts w:ascii="inherit" w:hAnsi="inherit" w:hint="eastAsia"/>
          <w:color w:val="333333"/>
          <w:sz w:val="30"/>
        </w:rPr>
      </w:pPr>
      <w:r>
        <w:rPr>
          <w:rFonts w:ascii="Times New Roman" w:hAnsi="Times New Roman"/>
          <w:b w:val="0"/>
          <w:color w:val="000000"/>
        </w:rPr>
        <w:t>3)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mogą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swobodnie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dysponować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środkami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>?</w:t>
      </w:r>
    </w:p>
    <w:p w:rsidR="0085075E" w:rsidRDefault="0085075E">
      <w:pPr>
        <w:pStyle w:val="Tekstpodstawowy"/>
        <w:spacing w:after="0" w:line="360" w:lineRule="auto"/>
        <w:jc w:val="both"/>
        <w:rPr>
          <w:rStyle w:val="Mocnewyrnione"/>
          <w:rFonts w:ascii="Open Sans;sans-serif" w:hAnsi="Open Sans;sans-serif" w:hint="eastAsia"/>
          <w:color w:val="3A3A3A"/>
          <w:sz w:val="26"/>
        </w:rPr>
      </w:pPr>
    </w:p>
    <w:p w:rsidR="0085075E" w:rsidRDefault="00C36F5E">
      <w:pPr>
        <w:pStyle w:val="Tekstpodstawowy"/>
        <w:spacing w:after="0" w:line="360" w:lineRule="auto"/>
        <w:jc w:val="both"/>
        <w:rPr>
          <w:rFonts w:ascii="Open Sans;sans-serif" w:hAnsi="Open Sans;sans-serif" w:hint="eastAsia"/>
          <w:color w:val="3A3A3A"/>
          <w:sz w:val="26"/>
        </w:rPr>
      </w:pPr>
      <w:r>
        <w:rPr>
          <w:rFonts w:ascii="Open Sans;sans-serif" w:hAnsi="Open Sans;sans-serif"/>
          <w:color w:val="3A3A3A"/>
          <w:sz w:val="26"/>
        </w:rPr>
        <w:tab/>
      </w:r>
      <w:proofErr w:type="spellStart"/>
      <w:r>
        <w:rPr>
          <w:rFonts w:ascii="Open Sans;sans-serif" w:hAnsi="Open Sans;sans-serif"/>
          <w:color w:val="3A3A3A"/>
          <w:sz w:val="26"/>
        </w:rPr>
        <w:t>R</w:t>
      </w:r>
      <w:r>
        <w:rPr>
          <w:rFonts w:ascii="Times New Roman" w:hAnsi="Times New Roman"/>
          <w:color w:val="000000"/>
        </w:rPr>
        <w:t>odzice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mogą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swobodnie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dysponować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pieniędzmi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zgromadzonymi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albowiem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zgodnie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treścią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przepisu</w:t>
      </w:r>
      <w:proofErr w:type="spellEnd"/>
      <w:r>
        <w:rPr>
          <w:rFonts w:ascii="Times New Roman" w:hAnsi="Times New Roman"/>
          <w:color w:val="000000"/>
        </w:rPr>
        <w:t xml:space="preserve"> art. 101 § 3 </w:t>
      </w:r>
      <w:proofErr w:type="spellStart"/>
      <w:r>
        <w:rPr>
          <w:rFonts w:ascii="Times New Roman" w:hAnsi="Times New Roman"/>
          <w:color w:val="000000"/>
        </w:rPr>
        <w:t>kodeksu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rodzinnego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mogą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zezwolenia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dokonywać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czynności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przekraczających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zakres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zwykłego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wyrażać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zgody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dokonywanie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czynności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dziecko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Brak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zgody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skutkuje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nieważnością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czynności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Nadto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stosownie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treści</w:t>
      </w:r>
      <w:proofErr w:type="spellEnd"/>
      <w:r>
        <w:rPr>
          <w:rFonts w:ascii="Times New Roman" w:hAnsi="Times New Roman"/>
          <w:color w:val="000000"/>
        </w:rPr>
        <w:t xml:space="preserve"> art. 93 § 1 </w:t>
      </w:r>
      <w:proofErr w:type="spellStart"/>
      <w:r>
        <w:rPr>
          <w:rFonts w:ascii="Times New Roman" w:hAnsi="Times New Roman"/>
          <w:color w:val="000000"/>
        </w:rPr>
        <w:t>kodeksu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rodzinnego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władza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rodzicielska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przysługuje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obojgu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polega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między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innymi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obowiązku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majątkiem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 (art. 95 § 1 </w:t>
      </w:r>
      <w:proofErr w:type="spellStart"/>
      <w:r>
        <w:rPr>
          <w:rFonts w:ascii="Times New Roman" w:hAnsi="Times New Roman"/>
          <w:color w:val="000000"/>
        </w:rPr>
        <w:t>kodeks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rodzinny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opiekuńczy</w:t>
      </w:r>
      <w:proofErr w:type="spellEnd"/>
      <w:r>
        <w:rPr>
          <w:rFonts w:ascii="Times New Roman" w:hAnsi="Times New Roman"/>
          <w:color w:val="000000"/>
        </w:rPr>
        <w:t xml:space="preserve">). </w:t>
      </w:r>
      <w:proofErr w:type="spellStart"/>
      <w:r>
        <w:rPr>
          <w:rFonts w:ascii="Times New Roman" w:hAnsi="Times New Roman"/>
          <w:color w:val="000000"/>
        </w:rPr>
        <w:t>Istotnym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elementem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majątkiem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 jest </w:t>
      </w:r>
      <w:proofErr w:type="spellStart"/>
      <w:r>
        <w:rPr>
          <w:rFonts w:ascii="Times New Roman" w:hAnsi="Times New Roman"/>
          <w:color w:val="000000"/>
        </w:rPr>
        <w:t>obowiązek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sprawowania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należytą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starannością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majątkiem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 (art. 101 § 1 </w:t>
      </w:r>
      <w:proofErr w:type="spellStart"/>
      <w:r>
        <w:rPr>
          <w:rFonts w:ascii="Times New Roman" w:hAnsi="Times New Roman"/>
          <w:color w:val="000000"/>
        </w:rPr>
        <w:t>kodeks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rodzinny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opiekuńczy</w:t>
      </w:r>
      <w:proofErr w:type="spellEnd"/>
      <w:r>
        <w:rPr>
          <w:rFonts w:ascii="Times New Roman" w:hAnsi="Times New Roman"/>
          <w:color w:val="000000"/>
        </w:rPr>
        <w:t xml:space="preserve">). W </w:t>
      </w:r>
      <w:proofErr w:type="spellStart"/>
      <w:r>
        <w:rPr>
          <w:rFonts w:ascii="Times New Roman" w:hAnsi="Times New Roman"/>
          <w:color w:val="000000"/>
        </w:rPr>
        <w:t>związku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tym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rodzice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zarządzają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majątkiem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małoletniego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uzyskania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pełnoletności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dotyczy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jednak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zarobku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przedmiotów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oddanych</w:t>
      </w:r>
      <w:proofErr w:type="spellEnd"/>
      <w:r>
        <w:rPr>
          <w:rFonts w:ascii="Times New Roman" w:hAnsi="Times New Roman"/>
          <w:color w:val="000000"/>
        </w:rPr>
        <w:t xml:space="preserve"> mu do </w:t>
      </w:r>
      <w:proofErr w:type="spellStart"/>
      <w:r>
        <w:rPr>
          <w:rFonts w:ascii="Times New Roman" w:hAnsi="Times New Roman"/>
          <w:color w:val="000000"/>
        </w:rPr>
        <w:t>swobodnego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użytku</w:t>
      </w:r>
      <w:proofErr w:type="spellEnd"/>
      <w:r>
        <w:rPr>
          <w:rFonts w:ascii="Times New Roman" w:hAnsi="Times New Roman"/>
          <w:color w:val="000000"/>
        </w:rPr>
        <w:t>.</w:t>
      </w: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Wobec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powyższego</w:t>
      </w:r>
      <w:proofErr w:type="spellEnd"/>
      <w:r>
        <w:rPr>
          <w:rFonts w:ascii="Times New Roman" w:hAnsi="Times New Roman"/>
          <w:color w:val="000000"/>
        </w:rPr>
        <w:t xml:space="preserve"> bank jest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tylko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uprawniony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zobowiązany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żądania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przedstawiciela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ustawowego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przedłożenia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orzeczenia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zezwalającego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wypłatę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kwoty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przekraczającej</w:t>
      </w:r>
      <w:proofErr w:type="spellEnd"/>
      <w:r>
        <w:rPr>
          <w:rFonts w:ascii="Times New Roman" w:hAnsi="Times New Roman"/>
          <w:color w:val="000000"/>
        </w:rPr>
        <w:t xml:space="preserve"> limit </w:t>
      </w:r>
      <w:proofErr w:type="spellStart"/>
      <w:r>
        <w:rPr>
          <w:rFonts w:ascii="Times New Roman" w:hAnsi="Times New Roman"/>
          <w:color w:val="000000"/>
        </w:rPr>
        <w:t>kwoty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zwykłego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Analogiczna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sytuacja</w:t>
      </w:r>
      <w:proofErr w:type="spellEnd"/>
      <w:r>
        <w:rPr>
          <w:rFonts w:ascii="Times New Roman" w:hAnsi="Times New Roman"/>
          <w:color w:val="000000"/>
        </w:rPr>
        <w:t xml:space="preserve"> ma </w:t>
      </w:r>
      <w:proofErr w:type="spellStart"/>
      <w:r>
        <w:rPr>
          <w:rFonts w:ascii="Times New Roman" w:hAnsi="Times New Roman"/>
          <w:color w:val="000000"/>
        </w:rPr>
        <w:t>miejsce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próbie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zamknięcia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małoletniego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wiążącego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się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wypłatą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środków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bądź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uszczupleniem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majątku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poprzez</w:t>
      </w:r>
      <w:proofErr w:type="spellEnd"/>
      <w:r>
        <w:rPr>
          <w:rFonts w:ascii="Times New Roman" w:hAnsi="Times New Roman"/>
          <w:color w:val="000000"/>
        </w:rPr>
        <w:t xml:space="preserve"> np. </w:t>
      </w:r>
      <w:proofErr w:type="spellStart"/>
      <w:r>
        <w:rPr>
          <w:rFonts w:ascii="Times New Roman" w:hAnsi="Times New Roman"/>
          <w:color w:val="000000"/>
        </w:rPr>
        <w:t>utratę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odsetek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wyniku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likwidacji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terminem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terminowej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lokaty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oszczędnościowej</w:t>
      </w:r>
      <w:proofErr w:type="spellEnd"/>
      <w:r>
        <w:rPr>
          <w:rFonts w:ascii="Times New Roman" w:hAnsi="Times New Roman"/>
          <w:color w:val="000000"/>
        </w:rPr>
        <w:t>.</w:t>
      </w: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Przepisy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definiują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wysokości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kwoty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zwykłego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osób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małoletnich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sam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zakres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często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uzależniony</w:t>
      </w:r>
      <w:proofErr w:type="spellEnd"/>
      <w:r>
        <w:rPr>
          <w:rFonts w:ascii="Times New Roman" w:hAnsi="Times New Roman"/>
          <w:color w:val="000000"/>
        </w:rPr>
        <w:t xml:space="preserve"> jest od </w:t>
      </w:r>
      <w:proofErr w:type="spellStart"/>
      <w:r>
        <w:rPr>
          <w:rFonts w:ascii="Times New Roman" w:hAnsi="Times New Roman"/>
          <w:color w:val="000000"/>
        </w:rPr>
        <w:t>stanu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majątku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Duża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część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banków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ustala</w:t>
      </w:r>
      <w:proofErr w:type="spellEnd"/>
      <w:r>
        <w:rPr>
          <w:rFonts w:ascii="Times New Roman" w:hAnsi="Times New Roman"/>
          <w:color w:val="000000"/>
        </w:rPr>
        <w:t xml:space="preserve"> limit </w:t>
      </w:r>
      <w:proofErr w:type="spellStart"/>
      <w:r>
        <w:rPr>
          <w:rFonts w:ascii="Times New Roman" w:hAnsi="Times New Roman"/>
          <w:color w:val="000000"/>
        </w:rPr>
        <w:t>kwoty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zwykłego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kwotę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odpowiadającą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równowartości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przeciętnego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miesięcznego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wynagrodzenia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sektorze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przedsiębiorstw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wypłat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nagród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zysku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ogłaszanego</w:t>
      </w:r>
      <w:proofErr w:type="spellEnd"/>
      <w:r>
        <w:rPr>
          <w:rFonts w:ascii="Times New Roman" w:hAnsi="Times New Roman"/>
          <w:color w:val="000000"/>
        </w:rPr>
        <w:t xml:space="preserve"> co </w:t>
      </w:r>
      <w:proofErr w:type="spellStart"/>
      <w:r>
        <w:rPr>
          <w:rFonts w:ascii="Times New Roman" w:hAnsi="Times New Roman"/>
          <w:color w:val="000000"/>
        </w:rPr>
        <w:t>miesiąc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prezesa</w:t>
      </w:r>
      <w:proofErr w:type="spellEnd"/>
      <w:r>
        <w:rPr>
          <w:rFonts w:ascii="Times New Roman" w:hAnsi="Times New Roman"/>
          <w:color w:val="000000"/>
        </w:rPr>
        <w:t xml:space="preserve"> GUS.</w:t>
      </w: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Wskazać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należy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otrzymać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zgodę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wypłatę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większej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kwoty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pieniężnej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, pod </w:t>
      </w:r>
      <w:proofErr w:type="spellStart"/>
      <w:r>
        <w:rPr>
          <w:rFonts w:ascii="Times New Roman" w:hAnsi="Times New Roman"/>
          <w:color w:val="000000"/>
        </w:rPr>
        <w:t>pewnymi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warunkami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Udzielając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zezwolenia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czynności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przekraczającej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zwykły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zarząd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sąd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ocenia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legalność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tzn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zgodność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obowiązującymi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przepisami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celowość</w:t>
      </w:r>
      <w:proofErr w:type="spellEnd"/>
      <w:r>
        <w:rPr>
          <w:rFonts w:ascii="Times New Roman" w:hAnsi="Times New Roman"/>
          <w:color w:val="000000"/>
        </w:rPr>
        <w:t xml:space="preserve"> (z </w:t>
      </w:r>
      <w:proofErr w:type="spellStart"/>
      <w:r>
        <w:rPr>
          <w:rFonts w:ascii="Times New Roman" w:hAnsi="Times New Roman"/>
          <w:color w:val="000000"/>
        </w:rPr>
        <w:t>gospodarczego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punktu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widzenia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działanie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dla</w:t>
      </w:r>
      <w:proofErr w:type="spellEnd"/>
      <w:r>
        <w:rPr>
          <w:rFonts w:ascii="Times New Roman" w:hAnsi="Times New Roman"/>
          <w:color w:val="000000"/>
        </w:rPr>
        <w:t xml:space="preserve"> dobra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>.</w:t>
      </w: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W </w:t>
      </w:r>
      <w:proofErr w:type="spellStart"/>
      <w:r>
        <w:rPr>
          <w:rFonts w:ascii="Times New Roman" w:hAnsi="Times New Roman"/>
          <w:color w:val="000000"/>
        </w:rPr>
        <w:t>uzasadnionych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wypadkach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sąd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ustalić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wartość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rozporządzeń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dotyczących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ruchomości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pieniędzy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papierów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wartościowych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których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lub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mogą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dokonywać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każdego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roku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zezwolenia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sądu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 (z </w:t>
      </w:r>
      <w:proofErr w:type="spellStart"/>
      <w:r>
        <w:rPr>
          <w:rFonts w:ascii="Times New Roman" w:hAnsi="Times New Roman"/>
          <w:color w:val="000000"/>
        </w:rPr>
        <w:t>zastrzeżeniem</w:t>
      </w:r>
      <w:proofErr w:type="spellEnd"/>
      <w:r>
        <w:rPr>
          <w:rFonts w:ascii="Times New Roman" w:hAnsi="Times New Roman"/>
          <w:color w:val="000000"/>
        </w:rPr>
        <w:t xml:space="preserve"> art. 103 </w:t>
      </w:r>
      <w:proofErr w:type="spellStart"/>
      <w:r>
        <w:rPr>
          <w:rFonts w:ascii="Times New Roman" w:hAnsi="Times New Roman"/>
          <w:color w:val="000000"/>
        </w:rPr>
        <w:t>kodeksu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rodzinnego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opiekuńczego</w:t>
      </w:r>
      <w:proofErr w:type="spellEnd"/>
      <w:r>
        <w:rPr>
          <w:rFonts w:ascii="Times New Roman" w:hAnsi="Times New Roman"/>
          <w:color w:val="000000"/>
        </w:rPr>
        <w:t xml:space="preserve">). </w:t>
      </w:r>
      <w:proofErr w:type="spellStart"/>
      <w:r>
        <w:rPr>
          <w:rFonts w:ascii="Times New Roman" w:hAnsi="Times New Roman"/>
          <w:color w:val="000000"/>
        </w:rPr>
        <w:t>Podkreslić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należy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iż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ma </w:t>
      </w:r>
      <w:proofErr w:type="spellStart"/>
      <w:r>
        <w:rPr>
          <w:rFonts w:ascii="Times New Roman" w:hAnsi="Times New Roman"/>
          <w:color w:val="000000"/>
        </w:rPr>
        <w:t>żadnych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limitów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wpłat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małoletniego</w:t>
      </w:r>
      <w:proofErr w:type="spellEnd"/>
      <w:r>
        <w:rPr>
          <w:rFonts w:ascii="Times New Roman" w:hAnsi="Times New Roman"/>
          <w:color w:val="000000"/>
        </w:rPr>
        <w:t>.</w:t>
      </w:r>
    </w:p>
    <w:p w:rsidR="0085075E" w:rsidRDefault="008507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5075E" w:rsidRDefault="0085075E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4) </w:t>
      </w:r>
      <w:proofErr w:type="spellStart"/>
      <w:r>
        <w:rPr>
          <w:rFonts w:ascii="Times New Roman" w:hAnsi="Times New Roman"/>
          <w:b/>
          <w:bCs/>
          <w:color w:val="000000"/>
        </w:rPr>
        <w:t>Czy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 jest  </w:t>
      </w:r>
      <w:proofErr w:type="spellStart"/>
      <w:r>
        <w:rPr>
          <w:rFonts w:ascii="Times New Roman" w:hAnsi="Times New Roman"/>
          <w:b/>
          <w:bCs/>
          <w:color w:val="000000"/>
        </w:rPr>
        <w:t>jakiś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 limit </w:t>
      </w:r>
      <w:proofErr w:type="spellStart"/>
      <w:r>
        <w:rPr>
          <w:rFonts w:ascii="Times New Roman" w:hAnsi="Times New Roman"/>
          <w:b/>
          <w:bCs/>
          <w:color w:val="000000"/>
        </w:rPr>
        <w:t>wiekowy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, od </w:t>
      </w:r>
      <w:proofErr w:type="spellStart"/>
      <w:r>
        <w:rPr>
          <w:rFonts w:ascii="Times New Roman" w:hAnsi="Times New Roman"/>
          <w:b/>
          <w:bCs/>
          <w:color w:val="000000"/>
        </w:rPr>
        <w:t>którego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możemy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założyć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dziecku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konto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w </w:t>
      </w:r>
      <w:proofErr w:type="spellStart"/>
      <w:r>
        <w:rPr>
          <w:rFonts w:ascii="Times New Roman" w:hAnsi="Times New Roman"/>
          <w:b/>
          <w:bCs/>
          <w:color w:val="000000"/>
        </w:rPr>
        <w:t>banku</w:t>
      </w:r>
      <w:proofErr w:type="spellEnd"/>
      <w:r>
        <w:rPr>
          <w:rFonts w:ascii="Times New Roman" w:hAnsi="Times New Roman"/>
          <w:b/>
          <w:bCs/>
          <w:color w:val="000000"/>
        </w:rPr>
        <w:t>?</w:t>
      </w:r>
    </w:p>
    <w:p w:rsidR="0085075E" w:rsidRDefault="0085075E">
      <w:pPr>
        <w:pStyle w:val="Tekstpodstawowy"/>
        <w:spacing w:after="0" w:line="360" w:lineRule="auto"/>
        <w:jc w:val="both"/>
        <w:rPr>
          <w:rFonts w:hint="eastAsia"/>
          <w:b/>
          <w:bCs/>
        </w:rPr>
      </w:pPr>
    </w:p>
    <w:p w:rsidR="0085075E" w:rsidRDefault="00C36F5E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ab/>
        <w:t xml:space="preserve">Na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chwilę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obecną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Mocnewyrnione"/>
          <w:rFonts w:ascii="Times New Roman" w:hAnsi="Times New Roman"/>
          <w:b w:val="0"/>
          <w:bCs w:val="0"/>
          <w:color w:val="000000"/>
        </w:rPr>
        <w:t>nie</w:t>
      </w:r>
      <w:proofErr w:type="spellEnd"/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istnieje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żaden</w:t>
      </w:r>
      <w:proofErr w:type="spellEnd"/>
      <w:r>
        <w:rPr>
          <w:rFonts w:ascii="Times New Roman" w:hAnsi="Times New Roman"/>
          <w:color w:val="000000"/>
        </w:rPr>
        <w:t xml:space="preserve"> limit </w:t>
      </w:r>
      <w:proofErr w:type="spellStart"/>
      <w:r>
        <w:rPr>
          <w:rFonts w:ascii="Times New Roman" w:hAnsi="Times New Roman"/>
          <w:color w:val="000000"/>
        </w:rPr>
        <w:t>wiekowy</w:t>
      </w:r>
      <w:proofErr w:type="spellEnd"/>
      <w:r>
        <w:rPr>
          <w:rFonts w:ascii="Times New Roman" w:hAnsi="Times New Roman"/>
          <w:color w:val="000000"/>
        </w:rPr>
        <w:t xml:space="preserve">, od </w:t>
      </w:r>
      <w:proofErr w:type="spellStart"/>
      <w:r>
        <w:rPr>
          <w:rFonts w:ascii="Times New Roman" w:hAnsi="Times New Roman"/>
          <w:color w:val="000000"/>
        </w:rPr>
        <w:t>którego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możemy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założyć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konto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Każdy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</w:t>
      </w:r>
      <w:proofErr w:type="spellEnd"/>
      <w:r>
        <w:rPr>
          <w:rFonts w:ascii="Times New Roman" w:hAnsi="Times New Roman"/>
          <w:color w:val="000000"/>
        </w:rPr>
        <w:t xml:space="preserve">, bez </w:t>
      </w:r>
      <w:proofErr w:type="spellStart"/>
      <w:r>
        <w:rPr>
          <w:rFonts w:ascii="Times New Roman" w:hAnsi="Times New Roman"/>
          <w:color w:val="000000"/>
        </w:rPr>
        <w:t>względu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swój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wiek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może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posiadaczem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oszczędnościowego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oszczędnościowo-rozliczeniowego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lub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rachunku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terminowej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lokaty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oszczędnościowej</w:t>
      </w:r>
      <w:proofErr w:type="spellEnd"/>
      <w:r>
        <w:rPr>
          <w:rFonts w:ascii="Times New Roman" w:hAnsi="Times New Roman"/>
          <w:color w:val="000000"/>
        </w:rPr>
        <w:t xml:space="preserve">). </w:t>
      </w:r>
      <w:proofErr w:type="spellStart"/>
      <w:r>
        <w:rPr>
          <w:rFonts w:ascii="Times New Roman" w:hAnsi="Times New Roman"/>
          <w:color w:val="000000"/>
        </w:rPr>
        <w:t>Zasada</w:t>
      </w:r>
      <w:proofErr w:type="spellEnd"/>
      <w:r>
        <w:rPr>
          <w:rFonts w:ascii="Times New Roman" w:hAnsi="Times New Roman"/>
          <w:color w:val="000000"/>
        </w:rPr>
        <w:t xml:space="preserve"> ta </w:t>
      </w:r>
      <w:proofErr w:type="spellStart"/>
      <w:r>
        <w:rPr>
          <w:rFonts w:ascii="Times New Roman" w:hAnsi="Times New Roman"/>
          <w:color w:val="000000"/>
        </w:rPr>
        <w:t>wynika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wprost</w:t>
      </w:r>
      <w:proofErr w:type="spellEnd"/>
      <w:r>
        <w:rPr>
          <w:rFonts w:ascii="Times New Roman" w:hAnsi="Times New Roman"/>
          <w:color w:val="000000"/>
        </w:rPr>
        <w:t xml:space="preserve"> z art. 58 </w:t>
      </w:r>
      <w:proofErr w:type="spellStart"/>
      <w:r>
        <w:rPr>
          <w:rFonts w:ascii="Times New Roman" w:hAnsi="Times New Roman"/>
          <w:color w:val="000000"/>
        </w:rPr>
        <w:t>Prawa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bankowego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oraz</w:t>
      </w:r>
      <w:proofErr w:type="spellEnd"/>
      <w:r>
        <w:rPr>
          <w:rFonts w:ascii="Times New Roman" w:hAnsi="Times New Roman"/>
          <w:color w:val="000000"/>
        </w:rPr>
        <w:t xml:space="preserve"> art. 8 § 1 </w:t>
      </w:r>
      <w:proofErr w:type="spellStart"/>
      <w:r>
        <w:rPr>
          <w:rFonts w:ascii="Times New Roman" w:hAnsi="Times New Roman"/>
          <w:color w:val="000000"/>
        </w:rPr>
        <w:t>kodeksu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cywilnego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Jednak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należy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podkreślić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umowę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imieniu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małoletniego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który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ukończył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lat</w:t>
      </w:r>
      <w:proofErr w:type="spellEnd"/>
      <w:r>
        <w:rPr>
          <w:rFonts w:ascii="Times New Roman" w:hAnsi="Times New Roman"/>
          <w:color w:val="000000"/>
        </w:rPr>
        <w:t xml:space="preserve"> 13 </w:t>
      </w:r>
      <w:proofErr w:type="spellStart"/>
      <w:r>
        <w:rPr>
          <w:rFonts w:ascii="Times New Roman" w:hAnsi="Times New Roman"/>
          <w:color w:val="000000"/>
        </w:rPr>
        <w:t>zawiera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jego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przedstawiciel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ustawowy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rachunek</w:t>
      </w:r>
      <w:proofErr w:type="spellEnd"/>
      <w:r>
        <w:rPr>
          <w:rFonts w:ascii="Times New Roman" w:hAnsi="Times New Roman"/>
          <w:color w:val="000000"/>
        </w:rPr>
        <w:t xml:space="preserve"> jest </w:t>
      </w:r>
      <w:proofErr w:type="spellStart"/>
      <w:r>
        <w:rPr>
          <w:rFonts w:ascii="Times New Roman" w:hAnsi="Times New Roman"/>
          <w:color w:val="000000"/>
        </w:rPr>
        <w:t>wówczas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połączony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rachunkiem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rodzica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przedstawiciela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ustawowego</w:t>
      </w:r>
      <w:proofErr w:type="spellEnd"/>
      <w:r>
        <w:rPr>
          <w:rFonts w:ascii="Times New Roman" w:hAnsi="Times New Roman"/>
          <w:color w:val="000000"/>
        </w:rPr>
        <w:t xml:space="preserve">). </w:t>
      </w:r>
      <w:proofErr w:type="spellStart"/>
      <w:r>
        <w:rPr>
          <w:rFonts w:ascii="Times New Roman" w:hAnsi="Times New Roman"/>
          <w:color w:val="000000"/>
        </w:rPr>
        <w:t>Banki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dołączają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nich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karty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które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dorosły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może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doładować</w:t>
      </w:r>
      <w:proofErr w:type="spellEnd"/>
      <w:r>
        <w:rPr>
          <w:rFonts w:ascii="Times New Roman" w:hAnsi="Times New Roman"/>
          <w:color w:val="000000"/>
        </w:rPr>
        <w:t xml:space="preserve">” </w:t>
      </w:r>
      <w:proofErr w:type="spellStart"/>
      <w:r>
        <w:rPr>
          <w:rFonts w:ascii="Times New Roman" w:hAnsi="Times New Roman"/>
          <w:color w:val="000000"/>
        </w:rPr>
        <w:t>określoną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kwotą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pieniężną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przekazaną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dyspozycji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dziecka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takim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zrealizować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żadnej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transakcji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zgody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przedstawiciela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ustawowego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Wskazać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należy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wszystkie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posiadają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swojej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ofercie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dzieci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poniżej</w:t>
      </w:r>
      <w:proofErr w:type="spellEnd"/>
      <w:r>
        <w:rPr>
          <w:rFonts w:ascii="Times New Roman" w:hAnsi="Times New Roman"/>
          <w:color w:val="000000"/>
        </w:rPr>
        <w:t xml:space="preserve"> 13 </w:t>
      </w:r>
      <w:proofErr w:type="spellStart"/>
      <w:r>
        <w:rPr>
          <w:rFonts w:ascii="Times New Roman" w:hAnsi="Times New Roman"/>
          <w:color w:val="000000"/>
        </w:rPr>
        <w:t>lat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które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posiadają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mogą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ofercie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różnić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warunkami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możliwościami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dostępu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konta</w:t>
      </w:r>
      <w:proofErr w:type="spellEnd"/>
      <w:r>
        <w:rPr>
          <w:rFonts w:ascii="Times New Roman" w:hAnsi="Times New Roman"/>
          <w:color w:val="000000"/>
        </w:rPr>
        <w:t>.</w:t>
      </w:r>
    </w:p>
    <w:p w:rsidR="0085075E" w:rsidRDefault="0085075E">
      <w:pPr>
        <w:pStyle w:val="Tekstpodstawowy"/>
        <w:spacing w:after="0" w:line="360" w:lineRule="auto"/>
        <w:jc w:val="both"/>
        <w:rPr>
          <w:rFonts w:hint="eastAsia"/>
        </w:rPr>
      </w:pP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5) </w:t>
      </w:r>
      <w:r>
        <w:rPr>
          <w:rFonts w:ascii="Times New Roman" w:hAnsi="Times New Roman"/>
          <w:b/>
          <w:bCs/>
          <w:color w:val="333333"/>
        </w:rPr>
        <w:t xml:space="preserve">Co </w:t>
      </w:r>
      <w:proofErr w:type="spellStart"/>
      <w:r>
        <w:rPr>
          <w:rFonts w:ascii="Times New Roman" w:hAnsi="Times New Roman"/>
          <w:b/>
          <w:bCs/>
          <w:color w:val="333333"/>
        </w:rPr>
        <w:t>zrobić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jeśli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nie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zgadzamy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się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z </w:t>
      </w:r>
      <w:proofErr w:type="spellStart"/>
      <w:r>
        <w:rPr>
          <w:rFonts w:ascii="Times New Roman" w:hAnsi="Times New Roman"/>
          <w:b/>
          <w:bCs/>
          <w:color w:val="333333"/>
        </w:rPr>
        <w:t>wyceną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szkody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przygotowaną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przez</w:t>
      </w:r>
      <w:proofErr w:type="spellEnd"/>
      <w:r>
        <w:rPr>
          <w:rFonts w:ascii="Times New Roman" w:hAnsi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</w:rPr>
        <w:t>ubezpieczyciela</w:t>
      </w:r>
      <w:proofErr w:type="spellEnd"/>
      <w:r>
        <w:rPr>
          <w:rFonts w:ascii="Times New Roman" w:hAnsi="Times New Roman"/>
          <w:b/>
          <w:bCs/>
          <w:color w:val="333333"/>
        </w:rPr>
        <w:t>?</w:t>
      </w:r>
    </w:p>
    <w:p w:rsidR="0085075E" w:rsidRDefault="0085075E">
      <w:pPr>
        <w:pStyle w:val="Tekstpodstawowy"/>
        <w:spacing w:after="0" w:line="360" w:lineRule="auto"/>
        <w:jc w:val="both"/>
        <w:rPr>
          <w:rFonts w:hint="eastAsia"/>
          <w:color w:val="333333"/>
        </w:rPr>
      </w:pP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color w:val="3A3A3A"/>
        </w:rPr>
      </w:pPr>
      <w:r>
        <w:rPr>
          <w:rFonts w:ascii="Times New Roman" w:hAnsi="Times New Roman"/>
          <w:color w:val="3A3A3A"/>
        </w:rPr>
        <w:tab/>
        <w:t xml:space="preserve">W </w:t>
      </w:r>
      <w:proofErr w:type="spellStart"/>
      <w:r>
        <w:rPr>
          <w:rFonts w:ascii="Times New Roman" w:hAnsi="Times New Roman"/>
          <w:color w:val="3A3A3A"/>
        </w:rPr>
        <w:t>sytuacji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gdy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zgadzamy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się</w:t>
      </w:r>
      <w:proofErr w:type="spellEnd"/>
      <w:r>
        <w:rPr>
          <w:rFonts w:ascii="Times New Roman" w:hAnsi="Times New Roman"/>
          <w:color w:val="3A3A3A"/>
        </w:rPr>
        <w:t xml:space="preserve"> z </w:t>
      </w:r>
      <w:proofErr w:type="spellStart"/>
      <w:r>
        <w:rPr>
          <w:rFonts w:ascii="Times New Roman" w:hAnsi="Times New Roman"/>
          <w:color w:val="3A3A3A"/>
        </w:rPr>
        <w:t>zaproponowaną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przez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ubezpieczyciela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wyceną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powinniśmy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niezwłocznie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składać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reklamację</w:t>
      </w:r>
      <w:proofErr w:type="spellEnd"/>
      <w:r>
        <w:rPr>
          <w:rFonts w:ascii="Times New Roman" w:hAnsi="Times New Roman"/>
          <w:color w:val="3A3A3A"/>
        </w:rPr>
        <w:t xml:space="preserve"> do </w:t>
      </w:r>
      <w:proofErr w:type="spellStart"/>
      <w:r>
        <w:rPr>
          <w:rFonts w:ascii="Times New Roman" w:hAnsi="Times New Roman"/>
          <w:color w:val="3A3A3A"/>
        </w:rPr>
        <w:t>zakładu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ubezpieczeń</w:t>
      </w:r>
      <w:proofErr w:type="spellEnd"/>
      <w:r>
        <w:rPr>
          <w:rFonts w:ascii="Times New Roman" w:hAnsi="Times New Roman"/>
          <w:color w:val="3A3A3A"/>
        </w:rPr>
        <w:t xml:space="preserve">. Ale </w:t>
      </w:r>
      <w:proofErr w:type="spellStart"/>
      <w:r>
        <w:rPr>
          <w:rFonts w:ascii="Times New Roman" w:hAnsi="Times New Roman"/>
          <w:color w:val="3A3A3A"/>
        </w:rPr>
        <w:t>zanim</w:t>
      </w:r>
      <w:proofErr w:type="spellEnd"/>
      <w:r>
        <w:rPr>
          <w:rFonts w:ascii="Times New Roman" w:hAnsi="Times New Roman"/>
          <w:color w:val="3A3A3A"/>
        </w:rPr>
        <w:t xml:space="preserve"> to </w:t>
      </w:r>
      <w:proofErr w:type="spellStart"/>
      <w:r>
        <w:rPr>
          <w:rFonts w:ascii="Times New Roman" w:hAnsi="Times New Roman"/>
          <w:color w:val="3A3A3A"/>
        </w:rPr>
        <w:t>zrobimy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przeczytajmy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uważnie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pismo</w:t>
      </w:r>
      <w:proofErr w:type="spellEnd"/>
      <w:r>
        <w:rPr>
          <w:rFonts w:ascii="Times New Roman" w:hAnsi="Times New Roman"/>
          <w:color w:val="3A3A3A"/>
        </w:rPr>
        <w:t xml:space="preserve"> od </w:t>
      </w:r>
      <w:proofErr w:type="spellStart"/>
      <w:r>
        <w:rPr>
          <w:rFonts w:ascii="Times New Roman" w:hAnsi="Times New Roman"/>
          <w:color w:val="3A3A3A"/>
        </w:rPr>
        <w:t>ubezpieczyciela</w:t>
      </w:r>
      <w:proofErr w:type="spellEnd"/>
      <w:r>
        <w:rPr>
          <w:rFonts w:ascii="Times New Roman" w:hAnsi="Times New Roman"/>
          <w:color w:val="3A3A3A"/>
        </w:rPr>
        <w:t xml:space="preserve">. </w:t>
      </w:r>
      <w:proofErr w:type="spellStart"/>
      <w:r>
        <w:rPr>
          <w:rFonts w:ascii="Times New Roman" w:hAnsi="Times New Roman"/>
          <w:color w:val="3A3A3A"/>
        </w:rPr>
        <w:t>Należy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wskazać</w:t>
      </w:r>
      <w:proofErr w:type="spellEnd"/>
      <w:r>
        <w:rPr>
          <w:rFonts w:ascii="Times New Roman" w:hAnsi="Times New Roman"/>
          <w:color w:val="3A3A3A"/>
        </w:rPr>
        <w:t xml:space="preserve">, </w:t>
      </w:r>
      <w:proofErr w:type="spellStart"/>
      <w:r>
        <w:rPr>
          <w:rFonts w:ascii="Times New Roman" w:hAnsi="Times New Roman"/>
          <w:color w:val="3A3A3A"/>
        </w:rPr>
        <w:t>iż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dość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często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ubezpieczyciele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bardzo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szybko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zgłoszeniu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szkody</w:t>
      </w:r>
      <w:proofErr w:type="spellEnd"/>
      <w:r>
        <w:rPr>
          <w:rFonts w:ascii="Times New Roman" w:hAnsi="Times New Roman"/>
          <w:color w:val="3A3A3A"/>
        </w:rPr>
        <w:t xml:space="preserve">  </w:t>
      </w:r>
      <w:proofErr w:type="spellStart"/>
      <w:r>
        <w:rPr>
          <w:rFonts w:ascii="Times New Roman" w:hAnsi="Times New Roman"/>
          <w:color w:val="3A3A3A"/>
        </w:rPr>
        <w:t>wypłacają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tzw</w:t>
      </w:r>
      <w:proofErr w:type="spellEnd"/>
      <w:r>
        <w:rPr>
          <w:rFonts w:ascii="Times New Roman" w:hAnsi="Times New Roman"/>
          <w:color w:val="3A3A3A"/>
        </w:rPr>
        <w:t xml:space="preserve">. </w:t>
      </w:r>
      <w:proofErr w:type="spellStart"/>
      <w:r>
        <w:rPr>
          <w:rFonts w:ascii="Times New Roman" w:hAnsi="Times New Roman"/>
          <w:color w:val="3A3A3A"/>
        </w:rPr>
        <w:t>kwotę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bezsporną</w:t>
      </w:r>
      <w:proofErr w:type="spellEnd"/>
      <w:r>
        <w:rPr>
          <w:rFonts w:ascii="Times New Roman" w:hAnsi="Times New Roman"/>
          <w:color w:val="3A3A3A"/>
        </w:rPr>
        <w:t xml:space="preserve"> . </w:t>
      </w:r>
      <w:proofErr w:type="spellStart"/>
      <w:r>
        <w:rPr>
          <w:rFonts w:ascii="Times New Roman" w:hAnsi="Times New Roman"/>
          <w:color w:val="3A3A3A"/>
        </w:rPr>
        <w:t>Te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pieniądze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ostatecznie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ustalonym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odszkodowaniem</w:t>
      </w:r>
      <w:proofErr w:type="spellEnd"/>
      <w:r>
        <w:rPr>
          <w:rFonts w:ascii="Times New Roman" w:hAnsi="Times New Roman"/>
          <w:color w:val="3A3A3A"/>
        </w:rPr>
        <w:t xml:space="preserve">. One </w:t>
      </w:r>
      <w:proofErr w:type="spellStart"/>
      <w:r>
        <w:rPr>
          <w:rFonts w:ascii="Times New Roman" w:hAnsi="Times New Roman"/>
          <w:color w:val="3A3A3A"/>
        </w:rPr>
        <w:t>mają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służyć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pokryciu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wydatków</w:t>
      </w:r>
      <w:proofErr w:type="spellEnd"/>
      <w:r>
        <w:rPr>
          <w:rFonts w:ascii="Times New Roman" w:hAnsi="Times New Roman"/>
          <w:color w:val="3A3A3A"/>
        </w:rPr>
        <w:t xml:space="preserve"> np. </w:t>
      </w:r>
      <w:proofErr w:type="spellStart"/>
      <w:r>
        <w:rPr>
          <w:rFonts w:ascii="Times New Roman" w:hAnsi="Times New Roman"/>
          <w:color w:val="3A3A3A"/>
        </w:rPr>
        <w:t>na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zabezpieczenie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uszkodzonego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mienia</w:t>
      </w:r>
      <w:proofErr w:type="spellEnd"/>
      <w:r>
        <w:rPr>
          <w:rFonts w:ascii="Times New Roman" w:hAnsi="Times New Roman"/>
          <w:color w:val="3A3A3A"/>
        </w:rPr>
        <w:t>.</w:t>
      </w:r>
    </w:p>
    <w:p w:rsidR="0085075E" w:rsidRDefault="00C36F5E">
      <w:pPr>
        <w:pStyle w:val="Tekstpodstawowy"/>
        <w:spacing w:after="0" w:line="360" w:lineRule="auto"/>
        <w:jc w:val="both"/>
        <w:rPr>
          <w:rFonts w:ascii="Times New Roman" w:hAnsi="Times New Roman"/>
          <w:color w:val="3A3A3A"/>
        </w:rPr>
      </w:pPr>
      <w:proofErr w:type="spellStart"/>
      <w:r>
        <w:rPr>
          <w:rFonts w:ascii="Times New Roman" w:hAnsi="Times New Roman"/>
          <w:color w:val="3A3A3A"/>
        </w:rPr>
        <w:t>Ubezpieczyciele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zawsze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wystarczająco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jasno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i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precyzyjnie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wyjaśniają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tą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kwestię</w:t>
      </w:r>
      <w:proofErr w:type="spellEnd"/>
      <w:r>
        <w:rPr>
          <w:rFonts w:ascii="Times New Roman" w:hAnsi="Times New Roman"/>
          <w:color w:val="3A3A3A"/>
        </w:rPr>
        <w:t xml:space="preserve">.  </w:t>
      </w:r>
      <w:proofErr w:type="spellStart"/>
      <w:r>
        <w:rPr>
          <w:rFonts w:ascii="Times New Roman" w:hAnsi="Times New Roman"/>
          <w:color w:val="3A3A3A"/>
        </w:rPr>
        <w:t>Następnie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ubezpieczyciel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prowadzi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postępowanie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likwidacyjne</w:t>
      </w:r>
      <w:proofErr w:type="spellEnd"/>
      <w:r>
        <w:rPr>
          <w:rFonts w:ascii="Times New Roman" w:hAnsi="Times New Roman"/>
          <w:color w:val="3A3A3A"/>
        </w:rPr>
        <w:t xml:space="preserve">, a </w:t>
      </w:r>
      <w:proofErr w:type="spellStart"/>
      <w:r>
        <w:rPr>
          <w:rFonts w:ascii="Times New Roman" w:hAnsi="Times New Roman"/>
          <w:color w:val="3A3A3A"/>
        </w:rPr>
        <w:t>tym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samym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mamy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możliwość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dopłaty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odszkodowania</w:t>
      </w:r>
      <w:proofErr w:type="spellEnd"/>
      <w:r>
        <w:rPr>
          <w:rFonts w:ascii="Times New Roman" w:hAnsi="Times New Roman"/>
          <w:color w:val="3A3A3A"/>
        </w:rPr>
        <w:t xml:space="preserve"> do </w:t>
      </w:r>
      <w:proofErr w:type="spellStart"/>
      <w:r>
        <w:rPr>
          <w:rFonts w:ascii="Times New Roman" w:hAnsi="Times New Roman"/>
          <w:color w:val="3A3A3A"/>
        </w:rPr>
        <w:t>kwoty</w:t>
      </w:r>
      <w:proofErr w:type="spellEnd"/>
      <w:r>
        <w:rPr>
          <w:rFonts w:ascii="Times New Roman" w:hAnsi="Times New Roman"/>
          <w:color w:val="3A3A3A"/>
        </w:rPr>
        <w:t xml:space="preserve"> </w:t>
      </w:r>
      <w:proofErr w:type="spellStart"/>
      <w:r>
        <w:rPr>
          <w:rFonts w:ascii="Times New Roman" w:hAnsi="Times New Roman"/>
          <w:color w:val="3A3A3A"/>
        </w:rPr>
        <w:t>bezspornej</w:t>
      </w:r>
      <w:proofErr w:type="spellEnd"/>
      <w:r>
        <w:rPr>
          <w:rFonts w:ascii="Times New Roman" w:hAnsi="Times New Roman"/>
          <w:color w:val="3A3A3A"/>
        </w:rPr>
        <w:t>.</w:t>
      </w:r>
    </w:p>
    <w:p w:rsidR="0085075E" w:rsidRDefault="0085075E">
      <w:pPr>
        <w:pStyle w:val="Tekstpodstawowy"/>
        <w:spacing w:after="0" w:line="360" w:lineRule="auto"/>
        <w:jc w:val="both"/>
        <w:rPr>
          <w:rFonts w:ascii="Times New Roman" w:hAnsi="Times New Roman"/>
          <w:color w:val="3A3A3A"/>
        </w:rPr>
      </w:pPr>
    </w:p>
    <w:p w:rsidR="0085075E" w:rsidRDefault="0085075E">
      <w:pPr>
        <w:pStyle w:val="Tekstpodstawowy"/>
        <w:spacing w:after="0" w:line="360" w:lineRule="auto"/>
        <w:jc w:val="both"/>
        <w:rPr>
          <w:rFonts w:hint="eastAsia"/>
        </w:rPr>
      </w:pPr>
    </w:p>
    <w:p w:rsidR="0085075E" w:rsidRDefault="0085075E">
      <w:pPr>
        <w:spacing w:after="225" w:line="360" w:lineRule="auto"/>
        <w:jc w:val="both"/>
        <w:rPr>
          <w:rFonts w:hint="eastAsia"/>
        </w:rPr>
      </w:pPr>
    </w:p>
    <w:sectPr w:rsidR="0085075E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charset w:val="EE"/>
    <w:family w:val="auto"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5E"/>
    <w:rsid w:val="00247058"/>
    <w:rsid w:val="007E3A48"/>
    <w:rsid w:val="0085075E"/>
    <w:rsid w:val="009F3A99"/>
    <w:rsid w:val="00C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val="en-US" w:eastAsia="zh-CN" w:bidi="hi-IN"/>
    </w:rPr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NSimSun" w:hAnsi="Liberation Serif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val="en-US" w:eastAsia="zh-CN" w:bidi="hi-IN"/>
    </w:rPr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NSimSun" w:hAnsi="Liberation Serif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orzad.infor.pl/tematy/pra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Links>
    <vt:vector size="30" baseType="variant">
      <vt:variant>
        <vt:i4>1835033</vt:i4>
      </vt:variant>
      <vt:variant>
        <vt:i4>12</vt:i4>
      </vt:variant>
      <vt:variant>
        <vt:i4>0</vt:i4>
      </vt:variant>
      <vt:variant>
        <vt:i4>5</vt:i4>
      </vt:variant>
      <vt:variant>
        <vt:lpwstr>https://kadry.infor.pl/tematy/ubezpieczenia/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https://ksiegowosc.infor.pl/tematy/skladki/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https://samorzad.infor.pl/tematy/praca/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https://mojafirma.infor.pl/tematy/emerytury/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https://mojafirma.infor.pl/tematy/nowelizacja/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Justyna</cp:lastModifiedBy>
  <cp:revision>2</cp:revision>
  <dcterms:created xsi:type="dcterms:W3CDTF">2022-10-24T08:27:00Z</dcterms:created>
  <dcterms:modified xsi:type="dcterms:W3CDTF">2022-10-24T08:27:00Z</dcterms:modified>
  <dc:language>pl-PL</dc:language>
</cp:coreProperties>
</file>