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WZÓR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 M O W A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zawarta w dniu…………... w Spiczynie pomiędzy Gminą Spiczyn, reprezentowaną przez Wójta Gminy Panią Dorotę Szczęsną zwaną            w dalszej części umowy „Zamawiającym”, a…………. zwanym w dalszej części umowy „Zleceniobiorcą”.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1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Przedmiotem umowy jest: </w:t>
      </w:r>
    </w:p>
    <w:p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Zapewnienie całodobowej, także w dni wolne od pracy i święta,  opieki weterynaryjnej w przypadkach zdarzeń drogowych z udziałem zwierząt na terenie Gminy Spiczyn, po każdorazowym zgłoszeniu przez  upoważnionego pracownika Urzędu Gminy Spiczyn lub Policji.</w:t>
      </w:r>
    </w:p>
    <w:p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Zapewnienia miejsca dla zwierząt gospodarskich bezdomnych,  lub czasowo odebranych ich właścicielowi lub posiadaczowi                             w gospodarstwie rolnym  spełniającym  wymogi określone                           w   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Rozporządzeniu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Ministra Rolnictwa i Rozwoju Wsi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z dnia                     28 czerwca 2010 r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w sprawie minimalnych warunków utrzymywania gatunków zwierząt gospodarskich innych niż te, dla których normy ochrony zostały określone w przepisach Unii Europejskiej/Dz. U. z 2017 poz.127/ oraz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 w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Rozporządzeniu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Ministra Rolnictwa i Rozwoju Wsi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z dnia 15 lutego 2010 r.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w sprawie wymagań i sposobu postępowania przy utrzymywaniu gatunków zwierząt gospodarskich, dla których normy ochrony zostały określone w przepisach Unii Europejskiej</w:t>
      </w:r>
      <w:r>
        <w:rPr>
          <w:rFonts w:eastAsia="Times New Roman" w:ascii="Bookman Old Style" w:hAnsi="Bookman Old Style"/>
          <w:bCs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/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 xml:space="preserve"> Dz. U. z 2010 Nr 56 poz. 344 z późn. zm./.</w:t>
      </w:r>
    </w:p>
    <w:p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W przypadku pogryzienia człowieka przez bezdomne zwierzę zapewnienie miejsca obserwacji  zwierzęcia zgodnie z zaleceniami Powiatowego Lekarza Weterynarii.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2</w:t>
      </w:r>
    </w:p>
    <w:p>
      <w:pPr>
        <w:pStyle w:val="Normal"/>
        <w:rPr>
          <w:rFonts w:eastAsia="Times New Roman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ab/>
        <w:t xml:space="preserve">W razie nieobecności Zleceniobiorca zobowiązany jest do wskazania zastępstwa realizującego w jego imieniu postanowienia umowy.   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3</w:t>
      </w:r>
    </w:p>
    <w:p>
      <w:pPr>
        <w:pStyle w:val="Normal"/>
        <w:ind w:left="28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Zamawiający zapłaci w ciągu 7 dni od dnia otrzymania rachunku na konto Zleceniobiorcy:</w:t>
      </w:r>
    </w:p>
    <w:p>
      <w:pPr>
        <w:pStyle w:val="ListParagraph"/>
        <w:numPr>
          <w:ilvl w:val="0"/>
          <w:numId w:val="4"/>
        </w:numPr>
        <w:ind w:left="928" w:hanging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 faktyczną usługę w ramach opieki weterynaryjnej  zwierząt biorących udział w zdarzeniach drogowych, kwotę w skład której wchodzą koszty badania klinicznego, koszty leków i leczenia, koszty transportu do lecznicy, i hospitalizacji do czasu odbiory zwierzęcia przez schronisko.</w:t>
      </w:r>
    </w:p>
    <w:p>
      <w:pPr>
        <w:pStyle w:val="ListParagraph"/>
        <w:numPr>
          <w:ilvl w:val="0"/>
          <w:numId w:val="4"/>
        </w:numPr>
        <w:ind w:left="928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 faktyczną usługę w ramach zapewnienia miejsca dla zwierząt gospodarskich w skład której wchodzi również  utrzymanie  za 1 dobę :</w:t>
      </w:r>
    </w:p>
    <w:p>
      <w:pPr>
        <w:pStyle w:val="ListParagraph"/>
        <w:ind w:left="0" w:hanging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a/zwierzęta duże /koń, krowa -  ……….. zł /słownie …………… złotych brutto/,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b/zwierzęta średnie /trzoda chlewna, owca- ……… zł/słownie ……………….. złotych brutto/.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c/ zwierzęta bezdomne/ pies, kot/ na obserwacji ……. złotych brutto/ słownie ………………..złotych/</w:t>
      </w:r>
    </w:p>
    <w:p>
      <w:pPr>
        <w:pStyle w:val="ListParagraph"/>
        <w:numPr>
          <w:ilvl w:val="0"/>
          <w:numId w:val="4"/>
        </w:numPr>
        <w:ind w:left="928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Wynagrodzenie w wysokości ………. złotych za godzinę wykonania umowy, przy czym w każdym miesiącu kalendarzowym minimalna liczba godzin wynosi 10.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4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 uzasadnionych przypadkach koszty  leczenia zwierzęcia gospodarskiego  umieszczonego w gospodarstwie rolnym określonym niniejszą umowa,   ponosi Zamawiający.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Łączna kwota wypłacona Wykonawcy za czas trwania umowy nie może przekroczyć   10.000 zł.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5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Zleceniobiorca odpowiada za szkody na osobie i w mieniu wyrządzone osobom trzecim podczas realizacji  § 1 ust. 2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niniejszej umowy.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6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Umowa została  zawarta  na czas określony od 1 kwietnia 2018 r.  do 31 grudnia 2018 r.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Umowa może ulec rozwiązaniu za porozumieniem stron lub po jednomiesięcznym miesięcznym okresie wypowiedzenia dokonanym na koniec miesiąca kalendarzowego.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Umowa może ulec rozwiązaniu w drodze jednostronnego pisemnego oświadczenia w przypadku niedotrzymania przez jedną ze stron warunków umowy. Rozwiązanie następuje z chwilą otrzymania oświadczenia przez drugą stronę.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7</w:t>
      </w:r>
    </w:p>
    <w:p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Wszelkie zmiany niniejszej umowy wymagają formy pisemnej pod rygorem nieważności.</w:t>
      </w:r>
    </w:p>
    <w:p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sprawach nieuregulowanych niniejszą umową mają zastosowanie przepisy Kodeksu Cywilnego.</w:t>
      </w:r>
    </w:p>
    <w:p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Wszelkie spory mogące wynikać z niniejszej umowy strony poddają pod rozstrzygnięcie Sądu Rejonowego w Lublinie.</w:t>
      </w:r>
    </w:p>
    <w:p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Niniejszą umowę sporządzono w dwóch jednobrzmiących egzemplarzach po jednym dla każdej ze stron.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Zamawiający                                 </w:t>
        <w:tab/>
        <w:tab/>
        <w:tab/>
        <w:t xml:space="preserve">              Zleceniobiorca</w:t>
      </w:r>
    </w:p>
    <w:p>
      <w:pPr>
        <w:pStyle w:val="Normal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2268" w:right="851" w:header="0" w:top="851" w:footer="0" w:bottom="851" w:gutter="0"/>
      <w:pgNumType w:fmt="decimal"/>
      <w:formProt w:val="false"/>
      <w:textDirection w:val="lrTb"/>
      <w:docGrid w:type="default" w:linePitch="381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81c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7a2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a29f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7a2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2F73-BB9F-4DF9-A678-A3616AAB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Application>LibreOffice/5.2.5.1$Windows_X86_64 LibreOffice_project/0312e1a284a7d50ca85a365c316c7abbf20a4d22</Application>
  <Pages>2</Pages>
  <Words>517</Words>
  <Characters>3183</Characters>
  <CharactersWithSpaces>3826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2015-02-16T13:25:00Z</dcterms:created>
  <dc:creator>Janusz Fitzerman</dc:creator>
  <dc:description/>
  <dc:language>pl-PL</dc:language>
  <cp:lastModifiedBy/>
  <cp:lastPrinted>2018-02-09T09:13:00Z</cp:lastPrinted>
  <dcterms:modified xsi:type="dcterms:W3CDTF">2018-02-14T09:25:50Z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